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B2BAD" w14:textId="77777777" w:rsidR="0030417F" w:rsidRDefault="0030417F" w:rsidP="0030417F">
      <w:pPr>
        <w:jc w:val="center"/>
        <w:rPr>
          <w:b/>
          <w:sz w:val="36"/>
          <w:szCs w:val="36"/>
        </w:rPr>
      </w:pPr>
      <w:bookmarkStart w:id="0" w:name="_Hlk132119837"/>
      <w:bookmarkEnd w:id="0"/>
    </w:p>
    <w:p w14:paraId="0E979173" w14:textId="0E2E9641" w:rsidR="0030417F" w:rsidRDefault="0030417F" w:rsidP="0030417F">
      <w:pPr>
        <w:jc w:val="center"/>
        <w:rPr>
          <w:b/>
          <w:sz w:val="36"/>
          <w:szCs w:val="36"/>
        </w:rPr>
      </w:pPr>
      <w:r w:rsidRPr="007D778C">
        <w:rPr>
          <w:b/>
          <w:sz w:val="36"/>
          <w:szCs w:val="36"/>
        </w:rPr>
        <w:t xml:space="preserve">Marion Cultural Alliance </w:t>
      </w:r>
    </w:p>
    <w:p w14:paraId="67B39728" w14:textId="106084E1" w:rsidR="0030417F" w:rsidRPr="002C3242" w:rsidRDefault="0030417F" w:rsidP="0030417F">
      <w:pPr>
        <w:jc w:val="center"/>
        <w:rPr>
          <w:b/>
          <w:sz w:val="36"/>
          <w:szCs w:val="36"/>
        </w:rPr>
      </w:pPr>
      <w:r>
        <w:rPr>
          <w:b/>
          <w:sz w:val="36"/>
          <w:szCs w:val="36"/>
        </w:rPr>
        <w:t xml:space="preserve">2025-2026 Cultural </w:t>
      </w:r>
      <w:r w:rsidRPr="007D778C">
        <w:rPr>
          <w:b/>
          <w:sz w:val="36"/>
          <w:szCs w:val="36"/>
        </w:rPr>
        <w:t>Grant</w:t>
      </w:r>
      <w:r>
        <w:rPr>
          <w:b/>
          <w:sz w:val="36"/>
          <w:szCs w:val="36"/>
        </w:rPr>
        <w:t xml:space="preserve"> Program Guidelines</w:t>
      </w:r>
    </w:p>
    <w:p w14:paraId="6FBAC414" w14:textId="77777777" w:rsidR="0030417F" w:rsidRDefault="0030417F" w:rsidP="0030417F">
      <w:pPr>
        <w:jc w:val="center"/>
        <w:rPr>
          <w:b/>
          <w:i/>
          <w:iCs/>
          <w:sz w:val="28"/>
          <w:szCs w:val="28"/>
        </w:rPr>
      </w:pPr>
      <w:r w:rsidRPr="008765E3">
        <w:rPr>
          <w:b/>
          <w:i/>
          <w:iCs/>
          <w:sz w:val="28"/>
          <w:szCs w:val="28"/>
        </w:rPr>
        <w:t xml:space="preserve">Important! Read these guidelines carefully. </w:t>
      </w:r>
    </w:p>
    <w:p w14:paraId="6B011857" w14:textId="77777777" w:rsidR="0030417F" w:rsidRDefault="0030417F" w:rsidP="0030417F">
      <w:pPr>
        <w:jc w:val="center"/>
        <w:rPr>
          <w:b/>
          <w:i/>
          <w:iCs/>
          <w:sz w:val="28"/>
          <w:szCs w:val="28"/>
        </w:rPr>
      </w:pPr>
    </w:p>
    <w:p w14:paraId="240FC329" w14:textId="5C532BC2" w:rsidR="0030417F" w:rsidRPr="00F1401E" w:rsidRDefault="0030417F" w:rsidP="0030417F">
      <w:pPr>
        <w:jc w:val="center"/>
        <w:rPr>
          <w:b/>
        </w:rPr>
      </w:pPr>
      <w:r w:rsidRPr="00F1401E">
        <w:rPr>
          <w:b/>
        </w:rPr>
        <w:t xml:space="preserve">Marion Cultural Alliance (MCA) </w:t>
      </w:r>
      <w:r w:rsidR="009F1392">
        <w:rPr>
          <w:b/>
        </w:rPr>
        <w:t xml:space="preserve">will award up to $30,000 for the 2025-2026 funding cycle. </w:t>
      </w:r>
    </w:p>
    <w:p w14:paraId="7526CA2E" w14:textId="77777777" w:rsidR="0030417F" w:rsidRDefault="0030417F" w:rsidP="0030417F">
      <w:pPr>
        <w:jc w:val="center"/>
        <w:rPr>
          <w:b/>
          <w:sz w:val="28"/>
          <w:szCs w:val="28"/>
        </w:rPr>
      </w:pPr>
    </w:p>
    <w:p w14:paraId="6C274689" w14:textId="77777777" w:rsidR="0030417F" w:rsidRDefault="0030417F" w:rsidP="0030417F">
      <w:pPr>
        <w:jc w:val="center"/>
        <w:rPr>
          <w:b/>
          <w:sz w:val="28"/>
          <w:szCs w:val="28"/>
        </w:rPr>
      </w:pPr>
      <w:r w:rsidRPr="00642A43">
        <w:rPr>
          <w:b/>
          <w:sz w:val="28"/>
          <w:szCs w:val="28"/>
        </w:rPr>
        <w:t>THESE GRANTS</w:t>
      </w:r>
      <w:r w:rsidRPr="0096301A">
        <w:rPr>
          <w:b/>
          <w:color w:val="FF0000"/>
          <w:sz w:val="28"/>
          <w:szCs w:val="28"/>
        </w:rPr>
        <w:t xml:space="preserve"> </w:t>
      </w:r>
      <w:r w:rsidRPr="00515AFC">
        <w:rPr>
          <w:b/>
          <w:sz w:val="28"/>
          <w:szCs w:val="28"/>
        </w:rPr>
        <w:t xml:space="preserve">SUPPORT SPECIFIC PROJECTS AND </w:t>
      </w:r>
      <w:r w:rsidRPr="005701F0">
        <w:rPr>
          <w:b/>
          <w:sz w:val="28"/>
          <w:szCs w:val="28"/>
        </w:rPr>
        <w:t>DOES NOT</w:t>
      </w:r>
      <w:r w:rsidRPr="0096301A">
        <w:rPr>
          <w:b/>
          <w:color w:val="FF0000"/>
          <w:sz w:val="28"/>
          <w:szCs w:val="28"/>
        </w:rPr>
        <w:t xml:space="preserve"> </w:t>
      </w:r>
      <w:r w:rsidRPr="00515AFC">
        <w:rPr>
          <w:b/>
          <w:sz w:val="28"/>
          <w:szCs w:val="28"/>
        </w:rPr>
        <w:t>PROVIDE GENERAL OPERATING SUPPORT</w:t>
      </w:r>
    </w:p>
    <w:p w14:paraId="39C9F17A" w14:textId="77777777" w:rsidR="0030417F" w:rsidRPr="00515AFC" w:rsidRDefault="0030417F" w:rsidP="0030417F">
      <w:pPr>
        <w:jc w:val="center"/>
        <w:rPr>
          <w:b/>
          <w:sz w:val="28"/>
          <w:szCs w:val="28"/>
        </w:rPr>
      </w:pPr>
    </w:p>
    <w:p w14:paraId="1341AAF7" w14:textId="77777777" w:rsidR="0030417F" w:rsidRPr="008C6630" w:rsidRDefault="0030417F" w:rsidP="0030417F">
      <w:pPr>
        <w:rPr>
          <w:b/>
        </w:rPr>
      </w:pPr>
      <w:r w:rsidRPr="008C6630">
        <w:rPr>
          <w:b/>
          <w:sz w:val="28"/>
          <w:szCs w:val="28"/>
        </w:rPr>
        <w:t>About MCA’s Cultural Grant Program</w:t>
      </w:r>
    </w:p>
    <w:p w14:paraId="594890CF" w14:textId="4E312158" w:rsidR="0030417F" w:rsidRDefault="0030417F" w:rsidP="0030417F">
      <w:pPr>
        <w:rPr>
          <w:bCs/>
        </w:rPr>
      </w:pPr>
      <w:r w:rsidRPr="008C6630">
        <w:rPr>
          <w:bCs/>
        </w:rPr>
        <w:t>Marion Cultural Alliance Cultural Grant Program was established in 2001 to</w:t>
      </w:r>
      <w:r>
        <w:rPr>
          <w:bCs/>
        </w:rPr>
        <w:t xml:space="preserve"> support </w:t>
      </w:r>
      <w:r w:rsidRPr="008C6630">
        <w:rPr>
          <w:bCs/>
        </w:rPr>
        <w:t xml:space="preserve">funding </w:t>
      </w:r>
      <w:r>
        <w:rPr>
          <w:bCs/>
        </w:rPr>
        <w:t>for projects</w:t>
      </w:r>
      <w:r w:rsidR="00454962">
        <w:rPr>
          <w:bCs/>
        </w:rPr>
        <w:t xml:space="preserve"> and programming </w:t>
      </w:r>
      <w:r>
        <w:rPr>
          <w:bCs/>
        </w:rPr>
        <w:t>that:</w:t>
      </w:r>
    </w:p>
    <w:p w14:paraId="4FE82F30" w14:textId="77777777" w:rsidR="0030417F" w:rsidRDefault="0030417F" w:rsidP="0030417F">
      <w:pPr>
        <w:pStyle w:val="ListParagraph"/>
        <w:numPr>
          <w:ilvl w:val="0"/>
          <w:numId w:val="1"/>
        </w:numPr>
        <w:rPr>
          <w:bCs/>
        </w:rPr>
      </w:pPr>
      <w:r>
        <w:rPr>
          <w:bCs/>
        </w:rPr>
        <w:t>Increase access to and participation in arts and culture, history, heritage, or science programming in our community</w:t>
      </w:r>
    </w:p>
    <w:p w14:paraId="1967240C" w14:textId="77777777" w:rsidR="0030417F" w:rsidRDefault="0030417F" w:rsidP="0030417F">
      <w:pPr>
        <w:pStyle w:val="ListParagraph"/>
        <w:numPr>
          <w:ilvl w:val="0"/>
          <w:numId w:val="1"/>
        </w:numPr>
        <w:rPr>
          <w:bCs/>
        </w:rPr>
      </w:pPr>
      <w:r>
        <w:rPr>
          <w:bCs/>
        </w:rPr>
        <w:t>Act as a catalyst for positive change through arts and culture</w:t>
      </w:r>
    </w:p>
    <w:p w14:paraId="24DEB182" w14:textId="61187050" w:rsidR="0030417F" w:rsidRDefault="0030417F" w:rsidP="0030417F">
      <w:pPr>
        <w:pStyle w:val="ListParagraph"/>
        <w:numPr>
          <w:ilvl w:val="0"/>
          <w:numId w:val="1"/>
        </w:numPr>
        <w:rPr>
          <w:bCs/>
        </w:rPr>
      </w:pPr>
      <w:r>
        <w:rPr>
          <w:bCs/>
        </w:rPr>
        <w:t>Since its founding in 2001,</w:t>
      </w:r>
      <w:r w:rsidR="009D04DF">
        <w:rPr>
          <w:bCs/>
        </w:rPr>
        <w:t xml:space="preserve"> the amount granted </w:t>
      </w:r>
      <w:r w:rsidR="009B3852">
        <w:rPr>
          <w:bCs/>
        </w:rPr>
        <w:t xml:space="preserve">will reach </w:t>
      </w:r>
      <w:r>
        <w:rPr>
          <w:bCs/>
        </w:rPr>
        <w:t>$</w:t>
      </w:r>
      <w:r w:rsidR="009D04DF">
        <w:rPr>
          <w:bCs/>
        </w:rPr>
        <w:t>613</w:t>
      </w:r>
      <w:r>
        <w:rPr>
          <w:bCs/>
        </w:rPr>
        <w:t xml:space="preserve">,000 </w:t>
      </w:r>
      <w:r w:rsidR="00435113">
        <w:rPr>
          <w:bCs/>
        </w:rPr>
        <w:t xml:space="preserve">for </w:t>
      </w:r>
      <w:r>
        <w:rPr>
          <w:bCs/>
        </w:rPr>
        <w:t xml:space="preserve">cultural grants </w:t>
      </w:r>
      <w:r w:rsidR="00435113">
        <w:rPr>
          <w:bCs/>
        </w:rPr>
        <w:t>to</w:t>
      </w:r>
      <w:r>
        <w:rPr>
          <w:bCs/>
        </w:rPr>
        <w:t xml:space="preserve"> 45 arts organizations</w:t>
      </w:r>
      <w:r w:rsidR="009B3852">
        <w:rPr>
          <w:bCs/>
        </w:rPr>
        <w:t xml:space="preserve">. This amount includes two rounds of funding by the National Endowment for the Arts of $40,000 and $30,000 respectively. </w:t>
      </w:r>
    </w:p>
    <w:p w14:paraId="2B516A9A" w14:textId="77777777" w:rsidR="0030417F" w:rsidRDefault="0030417F" w:rsidP="0030417F">
      <w:pPr>
        <w:pStyle w:val="ListParagraph"/>
        <w:rPr>
          <w:bCs/>
        </w:rPr>
      </w:pPr>
      <w:r>
        <w:rPr>
          <w:b/>
          <w:noProof/>
          <w:sz w:val="36"/>
          <w:szCs w:val="36"/>
        </w:rPr>
        <mc:AlternateContent>
          <mc:Choice Requires="wps">
            <w:drawing>
              <wp:anchor distT="0" distB="0" distL="114300" distR="114300" simplePos="0" relativeHeight="251659264" behindDoc="0" locked="0" layoutInCell="1" allowOverlap="1" wp14:anchorId="03C28543" wp14:editId="587F079F">
                <wp:simplePos x="0" y="0"/>
                <wp:positionH relativeFrom="margin">
                  <wp:posOffset>-504826</wp:posOffset>
                </wp:positionH>
                <wp:positionV relativeFrom="paragraph">
                  <wp:posOffset>281305</wp:posOffset>
                </wp:positionV>
                <wp:extent cx="7115175" cy="27622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7115175" cy="2762250"/>
                        </a:xfrm>
                        <a:prstGeom prst="rect">
                          <a:avLst/>
                        </a:prstGeom>
                        <a:solidFill>
                          <a:schemeClr val="accent2">
                            <a:lumMod val="40000"/>
                            <a:lumOff val="60000"/>
                          </a:schemeClr>
                        </a:solidFill>
                        <a:ln w="6350">
                          <a:solidFill>
                            <a:prstClr val="black"/>
                          </a:solidFill>
                        </a:ln>
                      </wps:spPr>
                      <wps:txbx>
                        <w:txbxContent>
                          <w:p w14:paraId="19E0BA38" w14:textId="2C781B76" w:rsidR="0030417F" w:rsidRPr="000C09AA" w:rsidRDefault="00977753" w:rsidP="0030417F">
                            <w:pPr>
                              <w:ind w:left="720" w:hanging="360"/>
                              <w:rPr>
                                <w:b/>
                                <w:bCs/>
                                <w:sz w:val="28"/>
                                <w:szCs w:val="28"/>
                              </w:rPr>
                            </w:pPr>
                            <w:r>
                              <w:rPr>
                                <w:b/>
                                <w:bCs/>
                                <w:sz w:val="28"/>
                                <w:szCs w:val="28"/>
                              </w:rPr>
                              <w:t>IMPORTANT REMINDERS</w:t>
                            </w:r>
                          </w:p>
                          <w:p w14:paraId="5D54BAE7" w14:textId="77777777" w:rsidR="0030417F" w:rsidRDefault="0030417F" w:rsidP="0030417F">
                            <w:pPr>
                              <w:pStyle w:val="ListParagraph"/>
                              <w:rPr>
                                <w:b/>
                              </w:rPr>
                            </w:pPr>
                          </w:p>
                          <w:p w14:paraId="1693117A" w14:textId="79282690" w:rsidR="0030417F" w:rsidRPr="00F64F52" w:rsidRDefault="0030417F" w:rsidP="0030417F">
                            <w:pPr>
                              <w:pStyle w:val="ListParagraph"/>
                              <w:numPr>
                                <w:ilvl w:val="0"/>
                                <w:numId w:val="4"/>
                              </w:numPr>
                              <w:rPr>
                                <w:b/>
                              </w:rPr>
                            </w:pPr>
                            <w:r w:rsidRPr="008B1D90">
                              <w:rPr>
                                <w:bCs/>
                              </w:rPr>
                              <w:t xml:space="preserve">The nonprofit </w:t>
                            </w:r>
                            <w:r w:rsidRPr="008B1D90">
                              <w:rPr>
                                <w:b/>
                                <w:i/>
                                <w:iCs/>
                              </w:rPr>
                              <w:t xml:space="preserve">must </w:t>
                            </w:r>
                            <w:r w:rsidRPr="008B1D90">
                              <w:rPr>
                                <w:bCs/>
                              </w:rPr>
                              <w:t xml:space="preserve">have a </w:t>
                            </w:r>
                            <w:r w:rsidRPr="008B1D90">
                              <w:rPr>
                                <w:b/>
                                <w:u w:val="single"/>
                              </w:rPr>
                              <w:t>Unique Entity ID (UEI)</w:t>
                            </w:r>
                            <w:r w:rsidRPr="008B1D90">
                              <w:rPr>
                                <w:bCs/>
                              </w:rPr>
                              <w:t xml:space="preserve"> through the Federal Government to receive funding from MCA. Applicants cannot receive </w:t>
                            </w:r>
                            <w:r w:rsidRPr="005701F0">
                              <w:rPr>
                                <w:bCs/>
                              </w:rPr>
                              <w:t xml:space="preserve">a </w:t>
                            </w:r>
                            <w:r w:rsidRPr="008B1D90">
                              <w:rPr>
                                <w:bCs/>
                              </w:rPr>
                              <w:t>MCA Grant unless they provide a valid UEI.</w:t>
                            </w:r>
                            <w:r>
                              <w:rPr>
                                <w:bCs/>
                              </w:rPr>
                              <w:t xml:space="preserve"> </w:t>
                            </w:r>
                            <w:hyperlink r:id="rId5" w:history="1">
                              <w:r w:rsidRPr="00F64F52">
                                <w:rPr>
                                  <w:rStyle w:val="Hyperlink"/>
                                  <w:bCs/>
                                </w:rPr>
                                <w:t>About the UEI</w:t>
                              </w:r>
                            </w:hyperlink>
                          </w:p>
                          <w:p w14:paraId="23123BD4" w14:textId="589E1F1A" w:rsidR="0030417F" w:rsidRPr="00CD7806" w:rsidRDefault="0030417F" w:rsidP="0030417F">
                            <w:pPr>
                              <w:pStyle w:val="ListParagraph"/>
                              <w:rPr>
                                <w:b/>
                              </w:rPr>
                            </w:pPr>
                            <w:r>
                              <w:rPr>
                                <w:bCs/>
                              </w:rPr>
                              <w:t xml:space="preserve">How to Apply for a UEI video </w:t>
                            </w:r>
                            <w:hyperlink r:id="rId6" w:history="1">
                              <w:r w:rsidRPr="00F64F52">
                                <w:rPr>
                                  <w:rStyle w:val="Hyperlink"/>
                                  <w:bCs/>
                                </w:rPr>
                                <w:t>(336) Get a Unique Entity ID - YouTube</w:t>
                              </w:r>
                            </w:hyperlink>
                          </w:p>
                          <w:p w14:paraId="0D8E0AF0" w14:textId="77777777" w:rsidR="0030417F" w:rsidRPr="00CD7806" w:rsidRDefault="0030417F" w:rsidP="0030417F">
                            <w:pPr>
                              <w:pStyle w:val="ListParagraph"/>
                              <w:rPr>
                                <w:b/>
                              </w:rPr>
                            </w:pPr>
                            <w:r>
                              <w:rPr>
                                <w:b/>
                              </w:rPr>
                              <w:t>(Applicants are not required to complete the full SAM registration to obtain a UEI)</w:t>
                            </w:r>
                          </w:p>
                          <w:p w14:paraId="1D464147" w14:textId="77777777" w:rsidR="0030417F" w:rsidRPr="008B1D90" w:rsidRDefault="0030417F" w:rsidP="0030417F">
                            <w:pPr>
                              <w:pStyle w:val="ListParagraph"/>
                              <w:numPr>
                                <w:ilvl w:val="0"/>
                                <w:numId w:val="4"/>
                              </w:numPr>
                              <w:rPr>
                                <w:b/>
                              </w:rPr>
                            </w:pPr>
                            <w:r w:rsidRPr="008B1D90">
                              <w:rPr>
                                <w:b/>
                                <w:i/>
                                <w:iCs/>
                                <w:u w:val="single"/>
                              </w:rPr>
                              <w:t>Caution: do not wait until the grant deadline to register with SAM.gov to receive your Unique Entity ID.</w:t>
                            </w:r>
                          </w:p>
                          <w:p w14:paraId="2B42FB17" w14:textId="453C8739" w:rsidR="0030417F" w:rsidRPr="008650C2" w:rsidRDefault="0030417F" w:rsidP="0030417F">
                            <w:pPr>
                              <w:pStyle w:val="ListParagraph"/>
                              <w:numPr>
                                <w:ilvl w:val="0"/>
                                <w:numId w:val="4"/>
                              </w:numPr>
                              <w:rPr>
                                <w:b/>
                              </w:rPr>
                            </w:pPr>
                            <w:r w:rsidRPr="008B1D90">
                              <w:rPr>
                                <w:bCs/>
                              </w:rPr>
                              <w:t xml:space="preserve">The maximum award </w:t>
                            </w:r>
                            <w:r>
                              <w:rPr>
                                <w:bCs/>
                              </w:rPr>
                              <w:t xml:space="preserve">for successful applicants </w:t>
                            </w:r>
                            <w:r w:rsidRPr="008B1D90">
                              <w:rPr>
                                <w:bCs/>
                              </w:rPr>
                              <w:t>is</w:t>
                            </w:r>
                            <w:r w:rsidRPr="005701F0">
                              <w:rPr>
                                <w:bCs/>
                              </w:rPr>
                              <w:t xml:space="preserve"> $</w:t>
                            </w:r>
                            <w:r w:rsidR="008650C2" w:rsidRPr="005701F0">
                              <w:rPr>
                                <w:bCs/>
                              </w:rPr>
                              <w:t>7</w:t>
                            </w:r>
                            <w:r w:rsidRPr="005701F0">
                              <w:rPr>
                                <w:bCs/>
                              </w:rPr>
                              <w:t>,500/the</w:t>
                            </w:r>
                            <w:r w:rsidRPr="0096301A">
                              <w:rPr>
                                <w:bCs/>
                                <w:color w:val="FF0000"/>
                              </w:rPr>
                              <w:t xml:space="preserve"> </w:t>
                            </w:r>
                            <w:r w:rsidRPr="008B1D90">
                              <w:rPr>
                                <w:bCs/>
                              </w:rPr>
                              <w:t xml:space="preserve">minimum $1,000. </w:t>
                            </w:r>
                          </w:p>
                          <w:p w14:paraId="3A516B66" w14:textId="01B5D61C" w:rsidR="0030417F" w:rsidRPr="00676D19" w:rsidRDefault="008650C2" w:rsidP="0030417F">
                            <w:pPr>
                              <w:pStyle w:val="ListParagraph"/>
                              <w:numPr>
                                <w:ilvl w:val="0"/>
                                <w:numId w:val="4"/>
                              </w:numPr>
                              <w:rPr>
                                <w:b/>
                              </w:rPr>
                            </w:pPr>
                            <w:r>
                              <w:rPr>
                                <w:bCs/>
                              </w:rPr>
                              <w:t xml:space="preserve">Due to a change in funding cycles, MCA </w:t>
                            </w:r>
                            <w:r w:rsidR="00F31DA0">
                              <w:rPr>
                                <w:bCs/>
                              </w:rPr>
                              <w:t xml:space="preserve">will not have the match from NEA for this cycle, however will apply for the </w:t>
                            </w:r>
                            <w:r w:rsidR="00676D19">
                              <w:rPr>
                                <w:bCs/>
                              </w:rPr>
                              <w:t>dollar-for-dollar</w:t>
                            </w:r>
                            <w:r w:rsidR="00F31DA0">
                              <w:rPr>
                                <w:bCs/>
                              </w:rPr>
                              <w:t xml:space="preserve"> match for the 2026-2027 cycle</w:t>
                            </w:r>
                            <w:r w:rsidR="00101037">
                              <w:rPr>
                                <w:bCs/>
                              </w:rPr>
                              <w:t>.</w:t>
                            </w:r>
                          </w:p>
                          <w:p w14:paraId="30A5A487" w14:textId="1BF7E350" w:rsidR="00676D19" w:rsidRPr="00101037" w:rsidRDefault="00676D19" w:rsidP="0030417F">
                            <w:pPr>
                              <w:pStyle w:val="ListParagraph"/>
                              <w:numPr>
                                <w:ilvl w:val="0"/>
                                <w:numId w:val="4"/>
                              </w:numPr>
                              <w:rPr>
                                <w:b/>
                              </w:rPr>
                            </w:pPr>
                            <w:r>
                              <w:rPr>
                                <w:bCs/>
                              </w:rPr>
                              <w:t>It is suggested to prepare responses to the narrative section in a word document</w:t>
                            </w:r>
                            <w:r w:rsidR="008A74ED">
                              <w:rPr>
                                <w:bCs/>
                              </w:rPr>
                              <w:t xml:space="preserve">, then transfer to the online application. </w:t>
                            </w:r>
                          </w:p>
                          <w:p w14:paraId="60920C9B" w14:textId="77777777" w:rsidR="0030417F" w:rsidRDefault="0030417F" w:rsidP="003041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C28543" id="_x0000_t202" coordsize="21600,21600" o:spt="202" path="m,l,21600r21600,l21600,xe">
                <v:stroke joinstyle="miter"/>
                <v:path gradientshapeok="t" o:connecttype="rect"/>
              </v:shapetype>
              <v:shape id="Text Box 1" o:spid="_x0000_s1026" type="#_x0000_t202" style="position:absolute;left:0;text-align:left;margin-left:-39.75pt;margin-top:22.15pt;width:560.25pt;height:2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" fillcolor="#f6c5ac [1301]" strokeweight=".5pt">
                <v:textbox>
                  <w:txbxContent>
                    <w:p w14:paraId="19E0BA38" w14:textId="2C781B76" w:rsidR="0030417F" w:rsidRPr="000C09AA" w:rsidRDefault="00977753" w:rsidP="0030417F">
                      <w:pPr>
                        <w:ind w:left="720" w:hanging="360"/>
                        <w:rPr>
                          <w:b/>
                          <w:bCs/>
                          <w:sz w:val="28"/>
                          <w:szCs w:val="28"/>
                        </w:rPr>
                      </w:pPr>
                      <w:r>
                        <w:rPr>
                          <w:b/>
                          <w:bCs/>
                          <w:sz w:val="28"/>
                          <w:szCs w:val="28"/>
                        </w:rPr>
                        <w:t>IMPORTANT REMINDERS</w:t>
                      </w:r>
                    </w:p>
                    <w:p w14:paraId="5D54BAE7" w14:textId="77777777" w:rsidR="0030417F" w:rsidRDefault="0030417F" w:rsidP="0030417F">
                      <w:pPr>
                        <w:pStyle w:val="ListParagraph"/>
                        <w:rPr>
                          <w:b/>
                        </w:rPr>
                      </w:pPr>
                    </w:p>
                    <w:p w14:paraId="1693117A" w14:textId="79282690" w:rsidR="0030417F" w:rsidRPr="00F64F52" w:rsidRDefault="0030417F" w:rsidP="0030417F">
                      <w:pPr>
                        <w:pStyle w:val="ListParagraph"/>
                        <w:numPr>
                          <w:ilvl w:val="0"/>
                          <w:numId w:val="4"/>
                        </w:numPr>
                        <w:rPr>
                          <w:b/>
                        </w:rPr>
                      </w:pPr>
                      <w:r w:rsidRPr="008B1D90">
                        <w:rPr>
                          <w:bCs/>
                        </w:rPr>
                        <w:t xml:space="preserve">The nonprofit </w:t>
                      </w:r>
                      <w:r w:rsidRPr="008B1D90">
                        <w:rPr>
                          <w:b/>
                          <w:i/>
                          <w:iCs/>
                        </w:rPr>
                        <w:t xml:space="preserve">must </w:t>
                      </w:r>
                      <w:r w:rsidRPr="008B1D90">
                        <w:rPr>
                          <w:bCs/>
                        </w:rPr>
                        <w:t xml:space="preserve">have a </w:t>
                      </w:r>
                      <w:r w:rsidRPr="008B1D90">
                        <w:rPr>
                          <w:b/>
                          <w:u w:val="single"/>
                        </w:rPr>
                        <w:t>Unique Entity ID (UEI)</w:t>
                      </w:r>
                      <w:r w:rsidRPr="008B1D90">
                        <w:rPr>
                          <w:bCs/>
                        </w:rPr>
                        <w:t xml:space="preserve"> through the Federal Government to receive funding from MCA. Applicants cannot receive </w:t>
                      </w:r>
                      <w:r w:rsidRPr="005701F0">
                        <w:rPr>
                          <w:bCs/>
                        </w:rPr>
                        <w:t xml:space="preserve">a </w:t>
                      </w:r>
                      <w:r w:rsidRPr="008B1D90">
                        <w:rPr>
                          <w:bCs/>
                        </w:rPr>
                        <w:t>MCA Grant unless they provide a valid UEI.</w:t>
                      </w:r>
                      <w:r>
                        <w:rPr>
                          <w:bCs/>
                        </w:rPr>
                        <w:t xml:space="preserve"> </w:t>
                      </w:r>
                      <w:hyperlink r:id="rId7" w:history="1">
                        <w:r w:rsidRPr="00F64F52">
                          <w:rPr>
                            <w:rStyle w:val="Hyperlink"/>
                            <w:bCs/>
                          </w:rPr>
                          <w:t>About the UEI</w:t>
                        </w:r>
                      </w:hyperlink>
                    </w:p>
                    <w:p w14:paraId="23123BD4" w14:textId="589E1F1A" w:rsidR="0030417F" w:rsidRPr="00CD7806" w:rsidRDefault="0030417F" w:rsidP="0030417F">
                      <w:pPr>
                        <w:pStyle w:val="ListParagraph"/>
                        <w:rPr>
                          <w:b/>
                        </w:rPr>
                      </w:pPr>
                      <w:r>
                        <w:rPr>
                          <w:bCs/>
                        </w:rPr>
                        <w:t xml:space="preserve">How to Apply for a UEI video </w:t>
                      </w:r>
                      <w:hyperlink r:id="rId8" w:history="1">
                        <w:r w:rsidRPr="00F64F52">
                          <w:rPr>
                            <w:rStyle w:val="Hyperlink"/>
                            <w:bCs/>
                          </w:rPr>
                          <w:t>(336) Get a Unique Entity ID - YouTube</w:t>
                        </w:r>
                      </w:hyperlink>
                    </w:p>
                    <w:p w14:paraId="0D8E0AF0" w14:textId="77777777" w:rsidR="0030417F" w:rsidRPr="00CD7806" w:rsidRDefault="0030417F" w:rsidP="0030417F">
                      <w:pPr>
                        <w:pStyle w:val="ListParagraph"/>
                        <w:rPr>
                          <w:b/>
                        </w:rPr>
                      </w:pPr>
                      <w:r>
                        <w:rPr>
                          <w:b/>
                        </w:rPr>
                        <w:t>(Applicants are not required to complete the full SAM registration to obtain a UEI)</w:t>
                      </w:r>
                    </w:p>
                    <w:p w14:paraId="1D464147" w14:textId="77777777" w:rsidR="0030417F" w:rsidRPr="008B1D90" w:rsidRDefault="0030417F" w:rsidP="0030417F">
                      <w:pPr>
                        <w:pStyle w:val="ListParagraph"/>
                        <w:numPr>
                          <w:ilvl w:val="0"/>
                          <w:numId w:val="4"/>
                        </w:numPr>
                        <w:rPr>
                          <w:b/>
                        </w:rPr>
                      </w:pPr>
                      <w:r w:rsidRPr="008B1D90">
                        <w:rPr>
                          <w:b/>
                          <w:i/>
                          <w:iCs/>
                          <w:u w:val="single"/>
                        </w:rPr>
                        <w:t>Caution: do not wait until the grant deadline to register with SAM.gov to receive your Unique Entity ID.</w:t>
                      </w:r>
                    </w:p>
                    <w:p w14:paraId="2B42FB17" w14:textId="453C8739" w:rsidR="0030417F" w:rsidRPr="008650C2" w:rsidRDefault="0030417F" w:rsidP="0030417F">
                      <w:pPr>
                        <w:pStyle w:val="ListParagraph"/>
                        <w:numPr>
                          <w:ilvl w:val="0"/>
                          <w:numId w:val="4"/>
                        </w:numPr>
                        <w:rPr>
                          <w:b/>
                        </w:rPr>
                      </w:pPr>
                      <w:r w:rsidRPr="008B1D90">
                        <w:rPr>
                          <w:bCs/>
                        </w:rPr>
                        <w:t xml:space="preserve">The maximum award </w:t>
                      </w:r>
                      <w:r>
                        <w:rPr>
                          <w:bCs/>
                        </w:rPr>
                        <w:t xml:space="preserve">for successful applicants </w:t>
                      </w:r>
                      <w:r w:rsidRPr="008B1D90">
                        <w:rPr>
                          <w:bCs/>
                        </w:rPr>
                        <w:t>is</w:t>
                      </w:r>
                      <w:r w:rsidRPr="005701F0">
                        <w:rPr>
                          <w:bCs/>
                        </w:rPr>
                        <w:t xml:space="preserve"> $</w:t>
                      </w:r>
                      <w:r w:rsidR="008650C2" w:rsidRPr="005701F0">
                        <w:rPr>
                          <w:bCs/>
                        </w:rPr>
                        <w:t>7</w:t>
                      </w:r>
                      <w:r w:rsidRPr="005701F0">
                        <w:rPr>
                          <w:bCs/>
                        </w:rPr>
                        <w:t>,500/the</w:t>
                      </w:r>
                      <w:r w:rsidRPr="0096301A">
                        <w:rPr>
                          <w:bCs/>
                          <w:color w:val="FF0000"/>
                        </w:rPr>
                        <w:t xml:space="preserve"> </w:t>
                      </w:r>
                      <w:r w:rsidRPr="008B1D90">
                        <w:rPr>
                          <w:bCs/>
                        </w:rPr>
                        <w:t xml:space="preserve">minimum $1,000. </w:t>
                      </w:r>
                    </w:p>
                    <w:p w14:paraId="3A516B66" w14:textId="01B5D61C" w:rsidR="0030417F" w:rsidRPr="00676D19" w:rsidRDefault="008650C2" w:rsidP="0030417F">
                      <w:pPr>
                        <w:pStyle w:val="ListParagraph"/>
                        <w:numPr>
                          <w:ilvl w:val="0"/>
                          <w:numId w:val="4"/>
                        </w:numPr>
                        <w:rPr>
                          <w:b/>
                        </w:rPr>
                      </w:pPr>
                      <w:r>
                        <w:rPr>
                          <w:bCs/>
                        </w:rPr>
                        <w:t xml:space="preserve">Due to a change in funding cycles, MCA </w:t>
                      </w:r>
                      <w:r w:rsidR="00F31DA0">
                        <w:rPr>
                          <w:bCs/>
                        </w:rPr>
                        <w:t xml:space="preserve">will not have the match from NEA for this cycle, however will apply for the </w:t>
                      </w:r>
                      <w:r w:rsidR="00676D19">
                        <w:rPr>
                          <w:bCs/>
                        </w:rPr>
                        <w:t>dollar-for-dollar</w:t>
                      </w:r>
                      <w:r w:rsidR="00F31DA0">
                        <w:rPr>
                          <w:bCs/>
                        </w:rPr>
                        <w:t xml:space="preserve"> match for the 2026-2027 cycle</w:t>
                      </w:r>
                      <w:r w:rsidR="00101037">
                        <w:rPr>
                          <w:bCs/>
                        </w:rPr>
                        <w:t>.</w:t>
                      </w:r>
                    </w:p>
                    <w:p w14:paraId="30A5A487" w14:textId="1BF7E350" w:rsidR="00676D19" w:rsidRPr="00101037" w:rsidRDefault="00676D19" w:rsidP="0030417F">
                      <w:pPr>
                        <w:pStyle w:val="ListParagraph"/>
                        <w:numPr>
                          <w:ilvl w:val="0"/>
                          <w:numId w:val="4"/>
                        </w:numPr>
                        <w:rPr>
                          <w:b/>
                        </w:rPr>
                      </w:pPr>
                      <w:r>
                        <w:rPr>
                          <w:bCs/>
                        </w:rPr>
                        <w:t>It is suggested to prepare responses to the narrative section in a word document</w:t>
                      </w:r>
                      <w:r w:rsidR="008A74ED">
                        <w:rPr>
                          <w:bCs/>
                        </w:rPr>
                        <w:t xml:space="preserve">, then transfer to the online application. </w:t>
                      </w:r>
                    </w:p>
                    <w:p w14:paraId="60920C9B" w14:textId="77777777" w:rsidR="0030417F" w:rsidRDefault="0030417F" w:rsidP="0030417F"/>
                  </w:txbxContent>
                </v:textbox>
                <w10:wrap anchorx="margin"/>
              </v:shape>
            </w:pict>
          </mc:Fallback>
        </mc:AlternateContent>
      </w:r>
    </w:p>
    <w:p w14:paraId="6D735F13" w14:textId="77777777" w:rsidR="0030417F" w:rsidRDefault="0030417F" w:rsidP="0030417F">
      <w:pPr>
        <w:pStyle w:val="ListParagraph"/>
        <w:rPr>
          <w:b/>
        </w:rPr>
      </w:pPr>
    </w:p>
    <w:p w14:paraId="7E134087" w14:textId="77777777" w:rsidR="0030417F" w:rsidRDefault="0030417F" w:rsidP="0030417F">
      <w:pPr>
        <w:pStyle w:val="ListParagraph"/>
        <w:rPr>
          <w:b/>
        </w:rPr>
      </w:pPr>
    </w:p>
    <w:p w14:paraId="439F7926" w14:textId="77777777" w:rsidR="0030417F" w:rsidRDefault="0030417F" w:rsidP="0030417F">
      <w:pPr>
        <w:pStyle w:val="ListParagraph"/>
        <w:rPr>
          <w:b/>
        </w:rPr>
      </w:pPr>
    </w:p>
    <w:p w14:paraId="57F77541" w14:textId="77777777" w:rsidR="0030417F" w:rsidRDefault="0030417F" w:rsidP="0030417F">
      <w:pPr>
        <w:pStyle w:val="ListParagraph"/>
        <w:rPr>
          <w:b/>
        </w:rPr>
      </w:pPr>
    </w:p>
    <w:p w14:paraId="4B5A1F45" w14:textId="77777777" w:rsidR="0030417F" w:rsidRDefault="0030417F" w:rsidP="0030417F">
      <w:pPr>
        <w:pStyle w:val="ListParagraph"/>
        <w:rPr>
          <w:b/>
        </w:rPr>
      </w:pPr>
    </w:p>
    <w:p w14:paraId="5B6E800B" w14:textId="77777777" w:rsidR="0030417F" w:rsidRDefault="0030417F" w:rsidP="0030417F">
      <w:pPr>
        <w:pStyle w:val="ListParagraph"/>
        <w:rPr>
          <w:b/>
        </w:rPr>
      </w:pPr>
    </w:p>
    <w:p w14:paraId="39330801" w14:textId="77777777" w:rsidR="0030417F" w:rsidRDefault="0030417F" w:rsidP="0030417F">
      <w:pPr>
        <w:pStyle w:val="ListParagraph"/>
        <w:rPr>
          <w:b/>
        </w:rPr>
      </w:pPr>
    </w:p>
    <w:p w14:paraId="75C6D851" w14:textId="77777777" w:rsidR="0030417F" w:rsidRDefault="0030417F" w:rsidP="0030417F">
      <w:pPr>
        <w:pStyle w:val="ListParagraph"/>
        <w:rPr>
          <w:b/>
        </w:rPr>
      </w:pPr>
    </w:p>
    <w:p w14:paraId="68657FFA" w14:textId="77777777" w:rsidR="0030417F" w:rsidRDefault="0030417F" w:rsidP="0030417F">
      <w:pPr>
        <w:pStyle w:val="ListParagraph"/>
        <w:rPr>
          <w:b/>
        </w:rPr>
      </w:pPr>
    </w:p>
    <w:p w14:paraId="18EB9109" w14:textId="77777777" w:rsidR="0030417F" w:rsidRDefault="0030417F" w:rsidP="0030417F">
      <w:pPr>
        <w:pStyle w:val="ListParagraph"/>
        <w:rPr>
          <w:b/>
        </w:rPr>
      </w:pPr>
    </w:p>
    <w:p w14:paraId="2027B95F" w14:textId="77777777" w:rsidR="0030417F" w:rsidRDefault="0030417F" w:rsidP="0030417F">
      <w:pPr>
        <w:pStyle w:val="ListParagraph"/>
        <w:rPr>
          <w:b/>
        </w:rPr>
      </w:pPr>
    </w:p>
    <w:p w14:paraId="2EFF46B5" w14:textId="77777777" w:rsidR="0030417F" w:rsidRDefault="0030417F" w:rsidP="0030417F">
      <w:pPr>
        <w:pStyle w:val="ListParagraph"/>
        <w:rPr>
          <w:b/>
        </w:rPr>
      </w:pPr>
    </w:p>
    <w:p w14:paraId="12485563" w14:textId="77777777" w:rsidR="0030417F" w:rsidRDefault="0030417F" w:rsidP="0030417F">
      <w:pPr>
        <w:pStyle w:val="ListParagraph"/>
        <w:rPr>
          <w:b/>
        </w:rPr>
      </w:pPr>
    </w:p>
    <w:p w14:paraId="7C008350" w14:textId="77777777" w:rsidR="0030417F" w:rsidRDefault="0030417F" w:rsidP="0030417F">
      <w:pPr>
        <w:pStyle w:val="ListParagraph"/>
        <w:rPr>
          <w:b/>
        </w:rPr>
      </w:pPr>
    </w:p>
    <w:p w14:paraId="3ABA97C9" w14:textId="77777777" w:rsidR="0030417F" w:rsidRDefault="0030417F" w:rsidP="0030417F">
      <w:pPr>
        <w:pStyle w:val="ListParagraph"/>
        <w:rPr>
          <w:b/>
        </w:rPr>
      </w:pPr>
    </w:p>
    <w:p w14:paraId="235DE073" w14:textId="77777777" w:rsidR="0030417F" w:rsidRDefault="0030417F" w:rsidP="0030417F">
      <w:pPr>
        <w:rPr>
          <w:b/>
        </w:rPr>
      </w:pPr>
    </w:p>
    <w:p w14:paraId="63785ADD" w14:textId="77777777" w:rsidR="0030417F" w:rsidRDefault="0030417F" w:rsidP="0030417F">
      <w:pPr>
        <w:rPr>
          <w:b/>
        </w:rPr>
      </w:pPr>
    </w:p>
    <w:p w14:paraId="1B42CE3E" w14:textId="77777777" w:rsidR="0030417F" w:rsidRDefault="0030417F" w:rsidP="0030417F">
      <w:pPr>
        <w:rPr>
          <w:b/>
        </w:rPr>
      </w:pPr>
    </w:p>
    <w:p w14:paraId="59E5FB1A" w14:textId="77777777" w:rsidR="00B817A8" w:rsidRDefault="00B817A8" w:rsidP="0030417F">
      <w:pPr>
        <w:rPr>
          <w:b/>
        </w:rPr>
      </w:pPr>
    </w:p>
    <w:p w14:paraId="148A341D" w14:textId="77777777" w:rsidR="00B817A8" w:rsidRDefault="00B817A8" w:rsidP="0030417F">
      <w:pPr>
        <w:rPr>
          <w:b/>
        </w:rPr>
      </w:pPr>
    </w:p>
    <w:p w14:paraId="6D075398" w14:textId="77777777" w:rsidR="00B817A8" w:rsidRDefault="00B817A8" w:rsidP="0030417F">
      <w:pPr>
        <w:rPr>
          <w:b/>
        </w:rPr>
      </w:pPr>
    </w:p>
    <w:p w14:paraId="6CEEE0F6" w14:textId="14FDF0B0" w:rsidR="0030417F" w:rsidRDefault="00B817A8" w:rsidP="0030417F">
      <w:pPr>
        <w:rPr>
          <w:b/>
        </w:rPr>
      </w:pPr>
      <w:r>
        <w:rPr>
          <w:b/>
        </w:rPr>
        <w:t>Calendar and Process</w:t>
      </w:r>
    </w:p>
    <w:p w14:paraId="330C8557" w14:textId="648FA815" w:rsidR="0030417F" w:rsidRDefault="0030417F" w:rsidP="0030417F">
      <w:pPr>
        <w:pStyle w:val="ListParagraph"/>
        <w:numPr>
          <w:ilvl w:val="1"/>
          <w:numId w:val="2"/>
        </w:numPr>
        <w:rPr>
          <w:bCs/>
        </w:rPr>
      </w:pPr>
      <w:r w:rsidRPr="00B817A8">
        <w:rPr>
          <w:bCs/>
        </w:rPr>
        <w:t xml:space="preserve">Application portal opens: </w:t>
      </w:r>
      <w:r w:rsidR="00B54060" w:rsidRPr="00B817A8">
        <w:rPr>
          <w:bCs/>
        </w:rPr>
        <w:t>May 5</w:t>
      </w:r>
      <w:r w:rsidRPr="00B817A8">
        <w:rPr>
          <w:bCs/>
        </w:rPr>
        <w:t>, 202</w:t>
      </w:r>
      <w:r w:rsidR="00B54060" w:rsidRPr="00B817A8">
        <w:rPr>
          <w:bCs/>
        </w:rPr>
        <w:t>5</w:t>
      </w:r>
      <w:r w:rsidR="00331BF9">
        <w:rPr>
          <w:bCs/>
        </w:rPr>
        <w:t xml:space="preserve"> </w:t>
      </w:r>
      <w:r w:rsidR="00557A8C">
        <w:rPr>
          <w:bCs/>
        </w:rPr>
        <w:t xml:space="preserve"> </w:t>
      </w:r>
      <w:r w:rsidR="00331BF9">
        <w:rPr>
          <w:bCs/>
        </w:rPr>
        <w:t xml:space="preserve"> mcaocala.org</w:t>
      </w:r>
      <w:r w:rsidR="00557A8C">
        <w:rPr>
          <w:bCs/>
        </w:rPr>
        <w:t>/mca-cultural-grant</w:t>
      </w:r>
    </w:p>
    <w:p w14:paraId="59A1AF62" w14:textId="1AFB7F97" w:rsidR="00BC7494" w:rsidRPr="00BC7494" w:rsidRDefault="00BC7494" w:rsidP="00BC7494">
      <w:pPr>
        <w:pStyle w:val="ListParagraph"/>
        <w:numPr>
          <w:ilvl w:val="1"/>
          <w:numId w:val="2"/>
        </w:numPr>
        <w:rPr>
          <w:bCs/>
        </w:rPr>
      </w:pPr>
      <w:r>
        <w:rPr>
          <w:bCs/>
        </w:rPr>
        <w:t xml:space="preserve">Projects and eligible expenses must fall between: September 1, 2025-June 30, 2026 </w:t>
      </w:r>
    </w:p>
    <w:p w14:paraId="0264284F" w14:textId="1D276D92" w:rsidR="0030417F" w:rsidRDefault="0030417F" w:rsidP="0030417F">
      <w:pPr>
        <w:pStyle w:val="ListParagraph"/>
        <w:numPr>
          <w:ilvl w:val="1"/>
          <w:numId w:val="2"/>
        </w:numPr>
        <w:rPr>
          <w:bCs/>
        </w:rPr>
      </w:pPr>
      <w:r>
        <w:rPr>
          <w:bCs/>
        </w:rPr>
        <w:t>Courtesy Review</w:t>
      </w:r>
      <w:r w:rsidR="00B817A8">
        <w:rPr>
          <w:bCs/>
        </w:rPr>
        <w:t xml:space="preserve"> by MCA Grant Chair: May</w:t>
      </w:r>
      <w:r w:rsidR="003F4251">
        <w:rPr>
          <w:bCs/>
        </w:rPr>
        <w:t xml:space="preserve"> 5</w:t>
      </w:r>
      <w:r>
        <w:rPr>
          <w:bCs/>
        </w:rPr>
        <w:t>-June 30, 202</w:t>
      </w:r>
      <w:r w:rsidR="003F4251">
        <w:rPr>
          <w:bCs/>
        </w:rPr>
        <w:t>5</w:t>
      </w:r>
    </w:p>
    <w:p w14:paraId="576B2009" w14:textId="5FF7FECE" w:rsidR="0030417F" w:rsidRDefault="0030417F" w:rsidP="0030417F">
      <w:pPr>
        <w:pStyle w:val="ListParagraph"/>
        <w:numPr>
          <w:ilvl w:val="1"/>
          <w:numId w:val="2"/>
        </w:numPr>
        <w:rPr>
          <w:bCs/>
        </w:rPr>
      </w:pPr>
      <w:r>
        <w:rPr>
          <w:bCs/>
        </w:rPr>
        <w:t>Application Deadline: July 1</w:t>
      </w:r>
      <w:r w:rsidR="00E1268D">
        <w:rPr>
          <w:bCs/>
        </w:rPr>
        <w:t>8</w:t>
      </w:r>
      <w:r>
        <w:rPr>
          <w:bCs/>
        </w:rPr>
        <w:t>, 202</w:t>
      </w:r>
      <w:r w:rsidR="00E1268D">
        <w:rPr>
          <w:bCs/>
        </w:rPr>
        <w:t>5</w:t>
      </w:r>
      <w:r>
        <w:rPr>
          <w:bCs/>
        </w:rPr>
        <w:t xml:space="preserve"> </w:t>
      </w:r>
    </w:p>
    <w:p w14:paraId="43B8E219" w14:textId="2E7A7A58" w:rsidR="0030417F" w:rsidRDefault="0030417F" w:rsidP="0030417F">
      <w:pPr>
        <w:pStyle w:val="ListParagraph"/>
        <w:numPr>
          <w:ilvl w:val="1"/>
          <w:numId w:val="2"/>
        </w:numPr>
        <w:rPr>
          <w:bCs/>
        </w:rPr>
      </w:pPr>
      <w:r>
        <w:rPr>
          <w:bCs/>
        </w:rPr>
        <w:t xml:space="preserve">Grant Committee Scoring: </w:t>
      </w:r>
      <w:r w:rsidR="00BE27D9">
        <w:rPr>
          <w:bCs/>
        </w:rPr>
        <w:t xml:space="preserve">Week of </w:t>
      </w:r>
      <w:r>
        <w:rPr>
          <w:bCs/>
        </w:rPr>
        <w:t xml:space="preserve">August </w:t>
      </w:r>
      <w:r w:rsidR="00BE27D9">
        <w:rPr>
          <w:bCs/>
        </w:rPr>
        <w:t>4</w:t>
      </w:r>
      <w:r>
        <w:rPr>
          <w:bCs/>
        </w:rPr>
        <w:t>, 202</w:t>
      </w:r>
      <w:r w:rsidR="00BE27D9">
        <w:rPr>
          <w:bCs/>
        </w:rPr>
        <w:t>5</w:t>
      </w:r>
    </w:p>
    <w:p w14:paraId="26C6A7FC" w14:textId="3588F33C" w:rsidR="0030417F" w:rsidRDefault="0030417F" w:rsidP="0030417F">
      <w:pPr>
        <w:pStyle w:val="ListParagraph"/>
        <w:numPr>
          <w:ilvl w:val="1"/>
          <w:numId w:val="2"/>
        </w:numPr>
        <w:rPr>
          <w:bCs/>
        </w:rPr>
      </w:pPr>
      <w:r>
        <w:rPr>
          <w:bCs/>
        </w:rPr>
        <w:t xml:space="preserve">Grant Funding Recommendation Presented to the Executive Committee-August </w:t>
      </w:r>
      <w:r w:rsidR="00D44B15">
        <w:rPr>
          <w:bCs/>
        </w:rPr>
        <w:t>21</w:t>
      </w:r>
      <w:r>
        <w:rPr>
          <w:bCs/>
        </w:rPr>
        <w:t>, 202</w:t>
      </w:r>
      <w:r w:rsidR="00D44B15">
        <w:rPr>
          <w:bCs/>
        </w:rPr>
        <w:t>5</w:t>
      </w:r>
    </w:p>
    <w:p w14:paraId="2E272C4A" w14:textId="1FD09FC6" w:rsidR="0030417F" w:rsidRDefault="0030417F" w:rsidP="0030417F">
      <w:pPr>
        <w:pStyle w:val="ListParagraph"/>
        <w:numPr>
          <w:ilvl w:val="1"/>
          <w:numId w:val="2"/>
        </w:numPr>
        <w:rPr>
          <w:bCs/>
        </w:rPr>
      </w:pPr>
      <w:r>
        <w:rPr>
          <w:bCs/>
        </w:rPr>
        <w:t>Grant Funding Recommendation Presented to MCA Board of Directors-August 2</w:t>
      </w:r>
      <w:r w:rsidR="00D44B15">
        <w:rPr>
          <w:bCs/>
        </w:rPr>
        <w:t>7</w:t>
      </w:r>
      <w:r>
        <w:rPr>
          <w:bCs/>
        </w:rPr>
        <w:t>, 202</w:t>
      </w:r>
      <w:r w:rsidR="00D44B15">
        <w:rPr>
          <w:bCs/>
        </w:rPr>
        <w:t>5</w:t>
      </w:r>
    </w:p>
    <w:p w14:paraId="2FDAE023" w14:textId="2B05BC01" w:rsidR="0030417F" w:rsidRDefault="0030417F" w:rsidP="0030417F">
      <w:pPr>
        <w:pStyle w:val="ListParagraph"/>
        <w:numPr>
          <w:ilvl w:val="1"/>
          <w:numId w:val="2"/>
        </w:numPr>
        <w:rPr>
          <w:bCs/>
        </w:rPr>
      </w:pPr>
      <w:r>
        <w:rPr>
          <w:bCs/>
        </w:rPr>
        <w:t xml:space="preserve">Notice to Organizations funded/not funded: August </w:t>
      </w:r>
      <w:r w:rsidR="004C1E51">
        <w:rPr>
          <w:bCs/>
        </w:rPr>
        <w:t>29</w:t>
      </w:r>
      <w:r>
        <w:rPr>
          <w:bCs/>
        </w:rPr>
        <w:t>, 202</w:t>
      </w:r>
      <w:r w:rsidR="004C1E51">
        <w:rPr>
          <w:bCs/>
        </w:rPr>
        <w:t>5</w:t>
      </w:r>
    </w:p>
    <w:p w14:paraId="7AD55C9A" w14:textId="21F53144" w:rsidR="0030417F" w:rsidRDefault="0030417F" w:rsidP="0030417F">
      <w:pPr>
        <w:pStyle w:val="ListParagraph"/>
        <w:numPr>
          <w:ilvl w:val="1"/>
          <w:numId w:val="2"/>
        </w:numPr>
        <w:rPr>
          <w:bCs/>
        </w:rPr>
      </w:pPr>
      <w:r>
        <w:rPr>
          <w:bCs/>
        </w:rPr>
        <w:t>Organizations may begin execution of grant: September 1, 202</w:t>
      </w:r>
      <w:r w:rsidR="004C1E51">
        <w:rPr>
          <w:bCs/>
        </w:rPr>
        <w:t>5</w:t>
      </w:r>
    </w:p>
    <w:p w14:paraId="664E817F" w14:textId="7EE00D51" w:rsidR="0030417F" w:rsidRDefault="0030417F" w:rsidP="0030417F">
      <w:pPr>
        <w:pStyle w:val="ListParagraph"/>
        <w:numPr>
          <w:ilvl w:val="1"/>
          <w:numId w:val="2"/>
        </w:numPr>
        <w:rPr>
          <w:bCs/>
        </w:rPr>
      </w:pPr>
      <w:r>
        <w:rPr>
          <w:bCs/>
        </w:rPr>
        <w:t xml:space="preserve">Distribution of checks: </w:t>
      </w:r>
      <w:r w:rsidR="004C1E51">
        <w:rPr>
          <w:bCs/>
        </w:rPr>
        <w:t>November 15</w:t>
      </w:r>
      <w:r>
        <w:rPr>
          <w:bCs/>
        </w:rPr>
        <w:t xml:space="preserve">, </w:t>
      </w:r>
      <w:r w:rsidR="005A59F9">
        <w:rPr>
          <w:bCs/>
        </w:rPr>
        <w:t>2025,</w:t>
      </w:r>
      <w:r>
        <w:rPr>
          <w:bCs/>
        </w:rPr>
        <w:t xml:space="preserve"> </w:t>
      </w:r>
      <w:r w:rsidR="00A83FF7">
        <w:rPr>
          <w:bCs/>
        </w:rPr>
        <w:t>at Applaud</w:t>
      </w:r>
      <w:r>
        <w:rPr>
          <w:bCs/>
        </w:rPr>
        <w:t xml:space="preserve"> the Arts</w:t>
      </w:r>
      <w:r w:rsidR="008C5FAE">
        <w:rPr>
          <w:bCs/>
        </w:rPr>
        <w:t>, Appleton Museum</w:t>
      </w:r>
      <w:r w:rsidR="005A59F9">
        <w:rPr>
          <w:bCs/>
        </w:rPr>
        <w:t xml:space="preserve">. Each awardee will receive </w:t>
      </w:r>
      <w:r w:rsidR="005A59F9" w:rsidRPr="0099324F">
        <w:rPr>
          <w:bCs/>
          <w:i/>
          <w:iCs/>
        </w:rPr>
        <w:t>one</w:t>
      </w:r>
      <w:r w:rsidR="005A59F9">
        <w:rPr>
          <w:bCs/>
        </w:rPr>
        <w:t xml:space="preserve"> complementary </w:t>
      </w:r>
      <w:r w:rsidR="00A83FF7">
        <w:rPr>
          <w:bCs/>
        </w:rPr>
        <w:t>ticket</w:t>
      </w:r>
      <w:r w:rsidR="0099324F">
        <w:rPr>
          <w:bCs/>
        </w:rPr>
        <w:t xml:space="preserve">. Additional tickets are available for purchase. </w:t>
      </w:r>
    </w:p>
    <w:p w14:paraId="39638A9D" w14:textId="77777777" w:rsidR="0030417F" w:rsidRDefault="0030417F" w:rsidP="0030417F">
      <w:pPr>
        <w:pStyle w:val="ListParagraph"/>
        <w:numPr>
          <w:ilvl w:val="1"/>
          <w:numId w:val="2"/>
        </w:numPr>
        <w:rPr>
          <w:bCs/>
        </w:rPr>
      </w:pPr>
      <w:r>
        <w:rPr>
          <w:bCs/>
        </w:rPr>
        <w:t>Final report due within 30 days of completed grant activity (MCA will provide the template)</w:t>
      </w:r>
    </w:p>
    <w:p w14:paraId="3AC979E2" w14:textId="77777777" w:rsidR="0030417F" w:rsidRDefault="0030417F" w:rsidP="0030417F">
      <w:pPr>
        <w:pStyle w:val="ListParagraph"/>
        <w:rPr>
          <w:bCs/>
        </w:rPr>
      </w:pPr>
    </w:p>
    <w:p w14:paraId="17CA0BDF" w14:textId="77777777" w:rsidR="0030417F" w:rsidRDefault="0030417F" w:rsidP="0030417F">
      <w:pPr>
        <w:rPr>
          <w:b/>
        </w:rPr>
      </w:pPr>
    </w:p>
    <w:p w14:paraId="3D3631A5" w14:textId="77777777" w:rsidR="0030417F" w:rsidRDefault="0030417F" w:rsidP="0030417F">
      <w:pPr>
        <w:rPr>
          <w:b/>
        </w:rPr>
      </w:pPr>
      <w:r>
        <w:rPr>
          <w:b/>
        </w:rPr>
        <w:t xml:space="preserve">GRANT AMOUNTS AND FUNDING CYCLE: </w:t>
      </w:r>
    </w:p>
    <w:p w14:paraId="631B534B" w14:textId="130F0828" w:rsidR="0030417F" w:rsidRPr="005920CB" w:rsidRDefault="0030417F" w:rsidP="0030417F">
      <w:pPr>
        <w:pStyle w:val="ListParagraph"/>
        <w:numPr>
          <w:ilvl w:val="0"/>
          <w:numId w:val="3"/>
        </w:numPr>
        <w:rPr>
          <w:b/>
        </w:rPr>
      </w:pPr>
      <w:r>
        <w:rPr>
          <w:bCs/>
        </w:rPr>
        <w:t>Grant awards may range from $1,000-$</w:t>
      </w:r>
      <w:r w:rsidR="00A83FF7">
        <w:rPr>
          <w:bCs/>
        </w:rPr>
        <w:t>7</w:t>
      </w:r>
      <w:r>
        <w:rPr>
          <w:bCs/>
        </w:rPr>
        <w:t xml:space="preserve">,500. However, the grant amount requested may not exceed 50% of the total program or project costs. </w:t>
      </w:r>
    </w:p>
    <w:p w14:paraId="2A57419C" w14:textId="77777777" w:rsidR="0030417F" w:rsidRPr="000514D8" w:rsidRDefault="0030417F" w:rsidP="0030417F">
      <w:pPr>
        <w:pStyle w:val="ListParagraph"/>
        <w:numPr>
          <w:ilvl w:val="0"/>
          <w:numId w:val="3"/>
        </w:numPr>
        <w:rPr>
          <w:b/>
        </w:rPr>
      </w:pPr>
      <w:r>
        <w:rPr>
          <w:bCs/>
        </w:rPr>
        <w:t xml:space="preserve">These grants support </w:t>
      </w:r>
      <w:r w:rsidRPr="005920CB">
        <w:rPr>
          <w:b/>
        </w:rPr>
        <w:t>specific projects</w:t>
      </w:r>
      <w:r>
        <w:rPr>
          <w:bCs/>
        </w:rPr>
        <w:t xml:space="preserve"> and do not provide general support</w:t>
      </w:r>
    </w:p>
    <w:p w14:paraId="7C81FB01" w14:textId="6B1AD90F" w:rsidR="0030417F" w:rsidRPr="00E72F8F" w:rsidRDefault="0030417F" w:rsidP="0030417F">
      <w:pPr>
        <w:pStyle w:val="ListParagraph"/>
        <w:numPr>
          <w:ilvl w:val="0"/>
          <w:numId w:val="3"/>
        </w:numPr>
        <w:rPr>
          <w:b/>
        </w:rPr>
      </w:pPr>
      <w:r>
        <w:rPr>
          <w:bCs/>
        </w:rPr>
        <w:t xml:space="preserve">The grant project </w:t>
      </w:r>
      <w:r w:rsidRPr="007C3D31">
        <w:rPr>
          <w:bCs/>
          <w:i/>
          <w:iCs/>
        </w:rPr>
        <w:t>start and end</w:t>
      </w:r>
      <w:r>
        <w:rPr>
          <w:bCs/>
        </w:rPr>
        <w:t xml:space="preserve"> dates must fall within the period of September 1, 202</w:t>
      </w:r>
      <w:r w:rsidR="002B7761">
        <w:rPr>
          <w:bCs/>
        </w:rPr>
        <w:t>5</w:t>
      </w:r>
      <w:r>
        <w:rPr>
          <w:bCs/>
        </w:rPr>
        <w:t>-June 30, 202</w:t>
      </w:r>
      <w:r w:rsidR="002B7761">
        <w:rPr>
          <w:bCs/>
        </w:rPr>
        <w:t>6</w:t>
      </w:r>
      <w:r>
        <w:rPr>
          <w:bCs/>
        </w:rPr>
        <w:t xml:space="preserve"> during which grant related expenses may be spent</w:t>
      </w:r>
    </w:p>
    <w:p w14:paraId="21875B90" w14:textId="77777777" w:rsidR="0030417F" w:rsidRPr="00E72F8F" w:rsidRDefault="0030417F" w:rsidP="0030417F">
      <w:pPr>
        <w:pStyle w:val="ListParagraph"/>
        <w:numPr>
          <w:ilvl w:val="0"/>
          <w:numId w:val="3"/>
        </w:numPr>
        <w:rPr>
          <w:b/>
        </w:rPr>
      </w:pPr>
      <w:r>
        <w:rPr>
          <w:bCs/>
        </w:rPr>
        <w:t>Funding is competitive, it is possible that not all projects of merit will be funded</w:t>
      </w:r>
    </w:p>
    <w:p w14:paraId="60D06313" w14:textId="5943CEB4" w:rsidR="0030417F" w:rsidRPr="00E72F8F" w:rsidRDefault="0030417F" w:rsidP="0030417F">
      <w:pPr>
        <w:pStyle w:val="ListParagraph"/>
        <w:numPr>
          <w:ilvl w:val="0"/>
          <w:numId w:val="3"/>
        </w:numPr>
        <w:rPr>
          <w:b/>
        </w:rPr>
      </w:pPr>
      <w:r>
        <w:rPr>
          <w:bCs/>
        </w:rPr>
        <w:t>MC</w:t>
      </w:r>
      <w:r w:rsidR="002B7761">
        <w:rPr>
          <w:bCs/>
        </w:rPr>
        <w:t>A</w:t>
      </w:r>
      <w:r>
        <w:rPr>
          <w:bCs/>
        </w:rPr>
        <w:t xml:space="preserve"> funds may be used to support eligible project related activities within the grant period</w:t>
      </w:r>
    </w:p>
    <w:p w14:paraId="6AA06820" w14:textId="4E8CAED6" w:rsidR="0030417F" w:rsidRPr="0099692A" w:rsidRDefault="0030417F" w:rsidP="0030417F">
      <w:pPr>
        <w:pStyle w:val="ListParagraph"/>
        <w:numPr>
          <w:ilvl w:val="1"/>
          <w:numId w:val="3"/>
        </w:numPr>
        <w:rPr>
          <w:b/>
        </w:rPr>
      </w:pPr>
      <w:r w:rsidRPr="0099692A">
        <w:rPr>
          <w:bCs/>
        </w:rPr>
        <w:t>Applicants will be notified if they include ineligible expenses in their project/application</w:t>
      </w:r>
    </w:p>
    <w:p w14:paraId="26C78E2C" w14:textId="77777777" w:rsidR="0030417F" w:rsidRDefault="0030417F" w:rsidP="0030417F">
      <w:pPr>
        <w:rPr>
          <w:b/>
        </w:rPr>
      </w:pPr>
    </w:p>
    <w:p w14:paraId="50A5F76A" w14:textId="77777777" w:rsidR="0030417F" w:rsidRDefault="0030417F" w:rsidP="0030417F">
      <w:pPr>
        <w:rPr>
          <w:b/>
        </w:rPr>
      </w:pPr>
    </w:p>
    <w:p w14:paraId="0A1177A6" w14:textId="77777777" w:rsidR="0030417F" w:rsidRDefault="0030417F" w:rsidP="0030417F">
      <w:pPr>
        <w:rPr>
          <w:b/>
        </w:rPr>
      </w:pPr>
      <w:r>
        <w:rPr>
          <w:b/>
        </w:rPr>
        <w:t>ELIGIBILTY AND REQUIREMENTS</w:t>
      </w:r>
    </w:p>
    <w:p w14:paraId="5B27E27C" w14:textId="77777777" w:rsidR="0030417F" w:rsidRDefault="0030417F" w:rsidP="0030417F">
      <w:pPr>
        <w:rPr>
          <w:b/>
        </w:rPr>
      </w:pPr>
    </w:p>
    <w:p w14:paraId="24289E51" w14:textId="77777777" w:rsidR="0030417F" w:rsidRDefault="0030417F" w:rsidP="0030417F">
      <w:pPr>
        <w:rPr>
          <w:b/>
        </w:rPr>
      </w:pPr>
      <w:r>
        <w:rPr>
          <w:b/>
        </w:rPr>
        <w:t xml:space="preserve">ORGANIZATION ELIGIBILITY </w:t>
      </w:r>
    </w:p>
    <w:p w14:paraId="454E5926" w14:textId="77777777" w:rsidR="0030417F" w:rsidRDefault="0030417F" w:rsidP="0030417F">
      <w:pPr>
        <w:rPr>
          <w:bCs/>
        </w:rPr>
      </w:pPr>
      <w:r>
        <w:rPr>
          <w:bCs/>
        </w:rPr>
        <w:t xml:space="preserve">Marion County arts and culture, history, heritage, and science nonprofit organizations </w:t>
      </w:r>
      <w:r w:rsidRPr="001160F1">
        <w:rPr>
          <w:b/>
        </w:rPr>
        <w:t xml:space="preserve">ARE </w:t>
      </w:r>
      <w:r>
        <w:rPr>
          <w:bCs/>
        </w:rPr>
        <w:t>eligible to apply.</w:t>
      </w:r>
    </w:p>
    <w:p w14:paraId="69BEEAD5" w14:textId="77777777" w:rsidR="0030417F" w:rsidRDefault="0030417F" w:rsidP="0030417F">
      <w:pPr>
        <w:rPr>
          <w:b/>
        </w:rPr>
      </w:pPr>
    </w:p>
    <w:p w14:paraId="5C43DA06" w14:textId="18F98913" w:rsidR="0030417F" w:rsidRDefault="0030417F" w:rsidP="0030417F">
      <w:pPr>
        <w:rPr>
          <w:bCs/>
        </w:rPr>
      </w:pPr>
      <w:r>
        <w:rPr>
          <w:bCs/>
        </w:rPr>
        <w:t xml:space="preserve">Projects/Programming based in arts and culture, science, or history that </w:t>
      </w:r>
      <w:r w:rsidR="002B7761" w:rsidRPr="0096301A">
        <w:rPr>
          <w:bCs/>
          <w:i/>
          <w:iCs/>
        </w:rPr>
        <w:t>take</w:t>
      </w:r>
      <w:r w:rsidRPr="002B7761">
        <w:rPr>
          <w:bCs/>
          <w:i/>
          <w:iCs/>
        </w:rPr>
        <w:t xml:space="preserve"> place</w:t>
      </w:r>
      <w:r>
        <w:rPr>
          <w:bCs/>
        </w:rPr>
        <w:t xml:space="preserve"> in Marion County and are open to the public. Exhibits, performances,</w:t>
      </w:r>
      <w:r w:rsidRPr="005701F0">
        <w:rPr>
          <w:bCs/>
        </w:rPr>
        <w:t xml:space="preserve"> festivals,</w:t>
      </w:r>
      <w:r w:rsidRPr="0096301A">
        <w:rPr>
          <w:bCs/>
          <w:color w:val="FF0000"/>
        </w:rPr>
        <w:t xml:space="preserve"> </w:t>
      </w:r>
      <w:r>
        <w:rPr>
          <w:bCs/>
        </w:rPr>
        <w:t>arts education, outreach programs, and art-based community development are examples of typical projects</w:t>
      </w:r>
      <w:r w:rsidRPr="0035112A">
        <w:rPr>
          <w:bCs/>
          <w:i/>
          <w:iCs/>
        </w:rPr>
        <w:t>.</w:t>
      </w:r>
      <w:r>
        <w:rPr>
          <w:bCs/>
          <w:i/>
          <w:iCs/>
        </w:rPr>
        <w:t xml:space="preserve"> It is recommended that</w:t>
      </w:r>
      <w:r w:rsidRPr="0035112A">
        <w:rPr>
          <w:bCs/>
          <w:i/>
          <w:iCs/>
        </w:rPr>
        <w:t xml:space="preserve"> </w:t>
      </w:r>
      <w:r>
        <w:rPr>
          <w:bCs/>
          <w:i/>
          <w:iCs/>
        </w:rPr>
        <w:t>p</w:t>
      </w:r>
      <w:r w:rsidRPr="0035112A">
        <w:rPr>
          <w:bCs/>
          <w:i/>
          <w:iCs/>
        </w:rPr>
        <w:t>rofessional artists or arts administrators be involved in the planning and execution of each project.</w:t>
      </w:r>
      <w:r>
        <w:rPr>
          <w:bCs/>
        </w:rPr>
        <w:t xml:space="preserve"> For arts education programming, teachers must have an arts background. Administrative costs can be included up to 15% of the project budget. </w:t>
      </w:r>
      <w:r w:rsidR="00F9328E">
        <w:rPr>
          <w:bCs/>
        </w:rPr>
        <w:t xml:space="preserve">MCA </w:t>
      </w:r>
      <w:r w:rsidRPr="005701F0">
        <w:rPr>
          <w:bCs/>
          <w:i/>
          <w:iCs/>
        </w:rPr>
        <w:t>cannot</w:t>
      </w:r>
      <w:r w:rsidRPr="005701F0">
        <w:rPr>
          <w:b/>
          <w:i/>
          <w:iCs/>
        </w:rPr>
        <w:t xml:space="preserve"> </w:t>
      </w:r>
      <w:r>
        <w:rPr>
          <w:bCs/>
        </w:rPr>
        <w:t>support general operating expenses.</w:t>
      </w:r>
    </w:p>
    <w:p w14:paraId="3210008E" w14:textId="77777777" w:rsidR="0030417F" w:rsidRDefault="0030417F" w:rsidP="0030417F">
      <w:pPr>
        <w:rPr>
          <w:b/>
        </w:rPr>
      </w:pPr>
    </w:p>
    <w:p w14:paraId="2AF22267" w14:textId="77777777" w:rsidR="0030417F" w:rsidRPr="000C3E2B" w:rsidRDefault="0030417F" w:rsidP="0030417F">
      <w:pPr>
        <w:pStyle w:val="ListParagraph"/>
        <w:numPr>
          <w:ilvl w:val="0"/>
          <w:numId w:val="4"/>
        </w:numPr>
        <w:rPr>
          <w:b/>
        </w:rPr>
      </w:pPr>
      <w:bookmarkStart w:id="1" w:name="_Hlk132804352"/>
      <w:r>
        <w:rPr>
          <w:bCs/>
        </w:rPr>
        <w:t>Applicant organization must have a current 501(c)3 status for a minimum of</w:t>
      </w:r>
      <w:r w:rsidRPr="00F9328E">
        <w:rPr>
          <w:bCs/>
          <w:i/>
          <w:iCs/>
        </w:rPr>
        <w:t xml:space="preserve"> two </w:t>
      </w:r>
      <w:r>
        <w:rPr>
          <w:bCs/>
        </w:rPr>
        <w:t xml:space="preserve">years as of the grant deadline, in good standing with the State of Florida Division of Corporations and IRS. MCA will verify the organization’s current 501(c)3 status. </w:t>
      </w:r>
    </w:p>
    <w:p w14:paraId="261E8297" w14:textId="77777777" w:rsidR="0030417F" w:rsidRPr="000C3E2B" w:rsidRDefault="0030417F" w:rsidP="0030417F">
      <w:pPr>
        <w:pStyle w:val="ListParagraph"/>
        <w:numPr>
          <w:ilvl w:val="1"/>
          <w:numId w:val="4"/>
        </w:numPr>
        <w:rPr>
          <w:b/>
        </w:rPr>
      </w:pPr>
      <w:r>
        <w:rPr>
          <w:bCs/>
        </w:rPr>
        <w:t>The applicant must document they are one of the following:</w:t>
      </w:r>
    </w:p>
    <w:p w14:paraId="7B84A508" w14:textId="77777777" w:rsidR="0030417F" w:rsidRPr="000C3E2B" w:rsidRDefault="0030417F" w:rsidP="0030417F">
      <w:pPr>
        <w:pStyle w:val="ListParagraph"/>
        <w:numPr>
          <w:ilvl w:val="2"/>
          <w:numId w:val="4"/>
        </w:numPr>
        <w:rPr>
          <w:b/>
        </w:rPr>
      </w:pPr>
      <w:r>
        <w:rPr>
          <w:bCs/>
        </w:rPr>
        <w:t>A public agency governed by a county, municipality, school district, institutions of higher education, or an agency of state government</w:t>
      </w:r>
    </w:p>
    <w:p w14:paraId="2ABC1D5E" w14:textId="77777777" w:rsidR="0030417F" w:rsidRPr="000C3E2B" w:rsidRDefault="0030417F" w:rsidP="0030417F">
      <w:pPr>
        <w:pStyle w:val="ListParagraph"/>
        <w:numPr>
          <w:ilvl w:val="2"/>
          <w:numId w:val="4"/>
        </w:numPr>
        <w:rPr>
          <w:b/>
        </w:rPr>
      </w:pPr>
      <w:r>
        <w:rPr>
          <w:bCs/>
        </w:rPr>
        <w:t>A not-for-profit, tax-exempt Florida corporation incorporated or authorized as a not-for-profit corporation, in good standing, pursuant to Chapter 617, Florida Statute. (Some private schools may be determined to be not-for-profits under Chapter 623, Florida Statute.</w:t>
      </w:r>
    </w:p>
    <w:p w14:paraId="0DBF6390" w14:textId="77777777" w:rsidR="0030417F" w:rsidRPr="006972AC" w:rsidRDefault="0030417F" w:rsidP="0030417F">
      <w:pPr>
        <w:pStyle w:val="ListParagraph"/>
        <w:numPr>
          <w:ilvl w:val="2"/>
          <w:numId w:val="4"/>
        </w:numPr>
        <w:rPr>
          <w:b/>
        </w:rPr>
      </w:pPr>
      <w:r>
        <w:rPr>
          <w:bCs/>
        </w:rPr>
        <w:t xml:space="preserve">Designated as a tax-exempt organization as defined in Section 501(c)3 of the Internal Revenue Code of 1954. Exemption must be issued in the name of the applicant organization. </w:t>
      </w:r>
    </w:p>
    <w:p w14:paraId="025B3893" w14:textId="77777777" w:rsidR="0030417F" w:rsidRPr="00C85854" w:rsidRDefault="0030417F" w:rsidP="0030417F">
      <w:pPr>
        <w:pStyle w:val="ListParagraph"/>
        <w:numPr>
          <w:ilvl w:val="2"/>
          <w:numId w:val="4"/>
        </w:numPr>
        <w:rPr>
          <w:b/>
        </w:rPr>
      </w:pPr>
      <w:r>
        <w:rPr>
          <w:bCs/>
        </w:rPr>
        <w:t xml:space="preserve">Federally recognized Indian tribal governments </w:t>
      </w:r>
    </w:p>
    <w:bookmarkEnd w:id="1"/>
    <w:p w14:paraId="009607CB" w14:textId="78F7EA49" w:rsidR="0030417F" w:rsidRPr="007D596C" w:rsidRDefault="00934CDA" w:rsidP="0030417F">
      <w:pPr>
        <w:pStyle w:val="ListParagraph"/>
        <w:numPr>
          <w:ilvl w:val="0"/>
          <w:numId w:val="4"/>
        </w:numPr>
        <w:rPr>
          <w:b/>
        </w:rPr>
      </w:pPr>
      <w:r>
        <w:rPr>
          <w:bCs/>
        </w:rPr>
        <w:t>The</w:t>
      </w:r>
      <w:r w:rsidR="0030417F">
        <w:rPr>
          <w:bCs/>
        </w:rPr>
        <w:t xml:space="preserve"> </w:t>
      </w:r>
      <w:r w:rsidR="00490DF1">
        <w:rPr>
          <w:bCs/>
        </w:rPr>
        <w:t>applicant must</w:t>
      </w:r>
      <w:r w:rsidR="0030417F">
        <w:rPr>
          <w:bCs/>
        </w:rPr>
        <w:t xml:space="preserve"> </w:t>
      </w:r>
      <w:r w:rsidR="00557A8C">
        <w:rPr>
          <w:bCs/>
        </w:rPr>
        <w:t>be in</w:t>
      </w:r>
      <w:r w:rsidR="0030417F">
        <w:rPr>
          <w:bCs/>
        </w:rPr>
        <w:t xml:space="preserve"> Marion County </w:t>
      </w:r>
      <w:r w:rsidR="0030417F" w:rsidRPr="00490DF1">
        <w:rPr>
          <w:bCs/>
          <w:i/>
          <w:iCs/>
        </w:rPr>
        <w:t xml:space="preserve">or </w:t>
      </w:r>
      <w:r w:rsidR="0030417F">
        <w:rPr>
          <w:bCs/>
        </w:rPr>
        <w:t>the grant project must occur in Marion Count</w:t>
      </w:r>
      <w:r w:rsidR="00490DF1">
        <w:rPr>
          <w:bCs/>
        </w:rPr>
        <w:t xml:space="preserve">y. </w:t>
      </w:r>
    </w:p>
    <w:p w14:paraId="16B5A68E" w14:textId="20334975" w:rsidR="0030417F" w:rsidRPr="00513348" w:rsidRDefault="0030417F" w:rsidP="0030417F">
      <w:pPr>
        <w:pStyle w:val="ListParagraph"/>
        <w:numPr>
          <w:ilvl w:val="0"/>
          <w:numId w:val="4"/>
        </w:numPr>
        <w:rPr>
          <w:b/>
        </w:rPr>
      </w:pPr>
      <w:r>
        <w:rPr>
          <w:bCs/>
        </w:rPr>
        <w:t xml:space="preserve">The nonprofit must have a Unique Entity ID (UEI) through the Federal Government to receive funding from </w:t>
      </w:r>
      <w:r w:rsidRPr="005701F0">
        <w:rPr>
          <w:bCs/>
        </w:rPr>
        <w:t>MCA</w:t>
      </w:r>
      <w:r w:rsidR="005701F0">
        <w:rPr>
          <w:bCs/>
        </w:rPr>
        <w:t xml:space="preserve">. </w:t>
      </w:r>
      <w:r>
        <w:rPr>
          <w:bCs/>
        </w:rPr>
        <w:t xml:space="preserve">To learn more about getting a UEI, </w:t>
      </w:r>
      <w:hyperlink r:id="rId9" w:history="1">
        <w:r w:rsidRPr="004D2BF1">
          <w:rPr>
            <w:rStyle w:val="Hyperlink"/>
            <w:bCs/>
          </w:rPr>
          <w:t>https://www.gsa.gov/about-us/organization/federal-acquisition-service/technology-transformation-services/integrated-award-environment-iae/iae-systems-information-kit/unique-entity-id-is-here</w:t>
        </w:r>
      </w:hyperlink>
      <w:r>
        <w:rPr>
          <w:bCs/>
        </w:rPr>
        <w:t xml:space="preserve"> </w:t>
      </w:r>
      <w:r>
        <w:rPr>
          <w:bCs/>
          <w:i/>
          <w:iCs/>
        </w:rPr>
        <w:t>Caution: do not wait until the grant deadline to register with SAM.gov to receive your Unique Entity ID.</w:t>
      </w:r>
    </w:p>
    <w:p w14:paraId="51C35BB6" w14:textId="77777777" w:rsidR="0030417F" w:rsidRPr="00A12D68" w:rsidRDefault="0030417F" w:rsidP="0030417F">
      <w:pPr>
        <w:pStyle w:val="ListParagraph"/>
        <w:numPr>
          <w:ilvl w:val="0"/>
          <w:numId w:val="4"/>
        </w:numPr>
        <w:rPr>
          <w:b/>
        </w:rPr>
      </w:pPr>
      <w:r>
        <w:rPr>
          <w:bCs/>
        </w:rPr>
        <w:t>Organizations must submit prior two years’ budget</w:t>
      </w:r>
    </w:p>
    <w:p w14:paraId="4EA242CB" w14:textId="49A8BCBB" w:rsidR="0030417F" w:rsidRPr="00A65747" w:rsidRDefault="008C2E3C" w:rsidP="0030417F">
      <w:pPr>
        <w:pStyle w:val="ListParagraph"/>
        <w:numPr>
          <w:ilvl w:val="0"/>
          <w:numId w:val="4"/>
        </w:numPr>
        <w:rPr>
          <w:b/>
        </w:rPr>
      </w:pPr>
      <w:r>
        <w:rPr>
          <w:bCs/>
        </w:rPr>
        <w:t xml:space="preserve">The organization must have </w:t>
      </w:r>
      <w:r w:rsidR="0030417F" w:rsidRPr="000F7CE6">
        <w:rPr>
          <w:bCs/>
        </w:rPr>
        <w:t xml:space="preserve">Arts and Culture, History, Heritage, </w:t>
      </w:r>
      <w:r w:rsidR="0030417F">
        <w:rPr>
          <w:bCs/>
        </w:rPr>
        <w:t xml:space="preserve">Arts Education, </w:t>
      </w:r>
      <w:r w:rsidR="0030417F" w:rsidRPr="000F7CE6">
        <w:rPr>
          <w:bCs/>
        </w:rPr>
        <w:t xml:space="preserve">or Science as the primary mission </w:t>
      </w:r>
    </w:p>
    <w:p w14:paraId="41E94475" w14:textId="77777777" w:rsidR="0030417F" w:rsidRPr="00E25806" w:rsidRDefault="0030417F" w:rsidP="0030417F">
      <w:pPr>
        <w:pStyle w:val="ListParagraph"/>
        <w:numPr>
          <w:ilvl w:val="0"/>
          <w:numId w:val="4"/>
        </w:numPr>
        <w:rPr>
          <w:b/>
        </w:rPr>
      </w:pPr>
      <w:r w:rsidRPr="00E25806">
        <w:rPr>
          <w:bCs/>
        </w:rPr>
        <w:t xml:space="preserve">Local governing board that meets at least quarterly and operates under a set of bylaws </w:t>
      </w:r>
    </w:p>
    <w:p w14:paraId="2CF406C2" w14:textId="77777777" w:rsidR="0030417F" w:rsidRPr="000F7CE6" w:rsidRDefault="0030417F" w:rsidP="0030417F">
      <w:pPr>
        <w:pStyle w:val="ListParagraph"/>
        <w:numPr>
          <w:ilvl w:val="0"/>
          <w:numId w:val="4"/>
        </w:numPr>
        <w:rPr>
          <w:b/>
        </w:rPr>
      </w:pPr>
      <w:r>
        <w:rPr>
          <w:bCs/>
        </w:rPr>
        <w:t>A</w:t>
      </w:r>
      <w:r w:rsidRPr="000F7CE6">
        <w:rPr>
          <w:bCs/>
        </w:rPr>
        <w:t>n organization may submit only one cultural grant application each year</w:t>
      </w:r>
    </w:p>
    <w:p w14:paraId="28B41A8B" w14:textId="63F20121" w:rsidR="0030417F" w:rsidRPr="00F1401E" w:rsidRDefault="0030417F" w:rsidP="0030417F">
      <w:pPr>
        <w:pStyle w:val="ListParagraph"/>
        <w:numPr>
          <w:ilvl w:val="0"/>
          <w:numId w:val="4"/>
        </w:numPr>
        <w:rPr>
          <w:b/>
        </w:rPr>
      </w:pPr>
      <w:r>
        <w:rPr>
          <w:bCs/>
        </w:rPr>
        <w:t xml:space="preserve">The applicant organization must have established policies and procedures which address </w:t>
      </w:r>
      <w:r w:rsidR="004E69FE">
        <w:rPr>
          <w:bCs/>
        </w:rPr>
        <w:t xml:space="preserve">accessibility and the </w:t>
      </w:r>
      <w:r>
        <w:rPr>
          <w:bCs/>
        </w:rPr>
        <w:t xml:space="preserve">organization must provide equal access and opportunity in employment and services and may not discriminate on the based-on race, color, ethnicity, religion, gender, ancestry, national origin, geography, age, varying disabilities, pregnancy, sexual orientation, gender identity, marital status, familial status, citizenship status, or socioeconomic status. </w:t>
      </w:r>
    </w:p>
    <w:p w14:paraId="206B06B6" w14:textId="1EF48521" w:rsidR="0030417F" w:rsidRPr="00F1401E" w:rsidRDefault="00BC3565" w:rsidP="0030417F">
      <w:pPr>
        <w:pStyle w:val="ListParagraph"/>
        <w:numPr>
          <w:ilvl w:val="0"/>
          <w:numId w:val="4"/>
        </w:numPr>
        <w:rPr>
          <w:bCs/>
        </w:rPr>
      </w:pPr>
      <w:r w:rsidRPr="00BC3565">
        <w:rPr>
          <w:bCs/>
        </w:rPr>
        <w:t xml:space="preserve">Projects that may impact a historic property; and/or take place outdoors may be subject to additional staff review to ensure compliance with </w:t>
      </w:r>
      <w:r w:rsidR="00AB387B">
        <w:rPr>
          <w:bCs/>
        </w:rPr>
        <w:t>the State or Federal</w:t>
      </w:r>
      <w:r w:rsidRPr="00BC3565">
        <w:rPr>
          <w:bCs/>
        </w:rPr>
        <w:t xml:space="preserve"> Historic Preservation Act </w:t>
      </w:r>
      <w:r w:rsidR="00AB387B">
        <w:rPr>
          <w:bCs/>
        </w:rPr>
        <w:t xml:space="preserve">or </w:t>
      </w:r>
      <w:r w:rsidRPr="00BC3565">
        <w:rPr>
          <w:bCs/>
        </w:rPr>
        <w:t xml:space="preserve">Environmental Policy Act. </w:t>
      </w:r>
      <w:r w:rsidR="0030417F" w:rsidRPr="00F1401E">
        <w:rPr>
          <w:bCs/>
        </w:rPr>
        <w:t xml:space="preserve">PLEASE CONTACT MCA’s executive director with any project concept that may fall under this provision for further instructions. </w:t>
      </w:r>
    </w:p>
    <w:p w14:paraId="5CE8F7CA" w14:textId="43B1C1DD" w:rsidR="0030417F" w:rsidRPr="00EE02A4" w:rsidRDefault="0030417F" w:rsidP="0030417F">
      <w:pPr>
        <w:pStyle w:val="ListParagraph"/>
        <w:numPr>
          <w:ilvl w:val="0"/>
          <w:numId w:val="4"/>
        </w:numPr>
        <w:rPr>
          <w:b/>
        </w:rPr>
      </w:pPr>
      <w:r>
        <w:rPr>
          <w:bCs/>
        </w:rPr>
        <w:t>No grant application or related materials will be accepted unless submitted before or on July 1</w:t>
      </w:r>
      <w:r w:rsidR="00DB6354">
        <w:rPr>
          <w:bCs/>
        </w:rPr>
        <w:t>8</w:t>
      </w:r>
      <w:r>
        <w:rPr>
          <w:bCs/>
        </w:rPr>
        <w:t>, 202</w:t>
      </w:r>
      <w:r w:rsidR="00DB6354">
        <w:rPr>
          <w:bCs/>
        </w:rPr>
        <w:t>5</w:t>
      </w:r>
    </w:p>
    <w:p w14:paraId="7076E7EE" w14:textId="2CBC7428" w:rsidR="0030417F" w:rsidRPr="000C3E2B" w:rsidRDefault="0030417F" w:rsidP="0030417F">
      <w:pPr>
        <w:pStyle w:val="ListParagraph"/>
        <w:numPr>
          <w:ilvl w:val="0"/>
          <w:numId w:val="4"/>
        </w:numPr>
        <w:rPr>
          <w:b/>
        </w:rPr>
      </w:pPr>
      <w:r>
        <w:rPr>
          <w:bCs/>
        </w:rPr>
        <w:t xml:space="preserve">Any publicity or publications related to programs or projects funded by MCA shall include the MCA Supported logo and/or the following statement: </w:t>
      </w:r>
      <w:r>
        <w:rPr>
          <w:bCs/>
          <w:i/>
          <w:iCs/>
        </w:rPr>
        <w:t>Sponsored in part by the Marion Cultural Alliance</w:t>
      </w:r>
    </w:p>
    <w:p w14:paraId="1CAC96B7" w14:textId="77777777" w:rsidR="0030417F" w:rsidRPr="00EE02A4" w:rsidRDefault="0030417F" w:rsidP="0030417F">
      <w:pPr>
        <w:pStyle w:val="ListParagraph"/>
        <w:numPr>
          <w:ilvl w:val="0"/>
          <w:numId w:val="4"/>
        </w:numPr>
        <w:rPr>
          <w:b/>
        </w:rPr>
      </w:pPr>
      <w:r>
        <w:rPr>
          <w:bCs/>
        </w:rPr>
        <w:t>Applicant organizations must comply and be in good standing with any previously funded MCA grant</w:t>
      </w:r>
    </w:p>
    <w:p w14:paraId="241EAAB2" w14:textId="7F32A9BF" w:rsidR="0030417F" w:rsidRPr="00C533CA" w:rsidRDefault="0030417F" w:rsidP="0030417F">
      <w:pPr>
        <w:pStyle w:val="ListParagraph"/>
        <w:numPr>
          <w:ilvl w:val="0"/>
          <w:numId w:val="4"/>
        </w:numPr>
        <w:rPr>
          <w:b/>
        </w:rPr>
      </w:pPr>
      <w:r>
        <w:t xml:space="preserve">All grantees </w:t>
      </w:r>
      <w:r w:rsidRPr="00276C9F">
        <w:rPr>
          <w:b/>
        </w:rPr>
        <w:t>must submit a final report</w:t>
      </w:r>
      <w:r>
        <w:t xml:space="preserve"> that documents</w:t>
      </w:r>
      <w:r w:rsidR="00C533CA">
        <w:t xml:space="preserve"> demographics </w:t>
      </w:r>
      <w:r w:rsidR="00557A8C">
        <w:t>served, program</w:t>
      </w:r>
      <w:r>
        <w:t xml:space="preserve"> excellence and success to the Marion Cultural Alliance no later than 30 days after the completion of the grant. </w:t>
      </w:r>
    </w:p>
    <w:p w14:paraId="47873BB1" w14:textId="4B8762A9" w:rsidR="0030417F" w:rsidRPr="00C533CA" w:rsidRDefault="0030417F" w:rsidP="0030417F">
      <w:pPr>
        <w:pStyle w:val="ListParagraph"/>
        <w:numPr>
          <w:ilvl w:val="0"/>
          <w:numId w:val="4"/>
        </w:numPr>
        <w:rPr>
          <w:b/>
        </w:rPr>
      </w:pPr>
      <w:r>
        <w:t>Four electronic images depicting the grant program activity and electronic documentation of credit line and MCA usage must be submitted with this report. Organizations must meet this final report requirement to be considered for future funding.</w:t>
      </w:r>
    </w:p>
    <w:p w14:paraId="53C9FBDB" w14:textId="77777777" w:rsidR="0030417F" w:rsidRDefault="0030417F" w:rsidP="0030417F">
      <w:pPr>
        <w:rPr>
          <w:b/>
        </w:rPr>
      </w:pPr>
    </w:p>
    <w:p w14:paraId="06CFDB73" w14:textId="77777777" w:rsidR="0030417F" w:rsidRDefault="0030417F" w:rsidP="0030417F">
      <w:pPr>
        <w:rPr>
          <w:bCs/>
        </w:rPr>
      </w:pPr>
      <w:r>
        <w:rPr>
          <w:b/>
        </w:rPr>
        <w:t>ORGANIZATION ELIGIBILTY RESTRICTIONS-</w:t>
      </w:r>
      <w:r>
        <w:rPr>
          <w:bCs/>
        </w:rPr>
        <w:t xml:space="preserve">Organizations are </w:t>
      </w:r>
      <w:r w:rsidRPr="001160F1">
        <w:rPr>
          <w:b/>
        </w:rPr>
        <w:t>NOT</w:t>
      </w:r>
      <w:r>
        <w:rPr>
          <w:bCs/>
        </w:rPr>
        <w:t xml:space="preserve"> eligible if they are:</w:t>
      </w:r>
    </w:p>
    <w:p w14:paraId="6F228AEA" w14:textId="77777777" w:rsidR="0030417F" w:rsidRDefault="0030417F" w:rsidP="0030417F">
      <w:pPr>
        <w:pStyle w:val="ListParagraph"/>
        <w:numPr>
          <w:ilvl w:val="0"/>
          <w:numId w:val="5"/>
        </w:numPr>
        <w:rPr>
          <w:bCs/>
        </w:rPr>
      </w:pPr>
      <w:r>
        <w:rPr>
          <w:bCs/>
        </w:rPr>
        <w:t>Other designated Local Arts Agencies</w:t>
      </w:r>
    </w:p>
    <w:p w14:paraId="1B381F6E" w14:textId="77777777" w:rsidR="0030417F" w:rsidRDefault="0030417F" w:rsidP="0030417F">
      <w:pPr>
        <w:pStyle w:val="ListParagraph"/>
        <w:numPr>
          <w:ilvl w:val="0"/>
          <w:numId w:val="5"/>
        </w:numPr>
        <w:rPr>
          <w:bCs/>
        </w:rPr>
      </w:pPr>
      <w:r>
        <w:rPr>
          <w:bCs/>
        </w:rPr>
        <w:t>Fraternal or sports organizations</w:t>
      </w:r>
    </w:p>
    <w:p w14:paraId="531A9281" w14:textId="77777777" w:rsidR="0030417F" w:rsidRDefault="0030417F" w:rsidP="0030417F">
      <w:pPr>
        <w:pStyle w:val="ListParagraph"/>
        <w:numPr>
          <w:ilvl w:val="0"/>
          <w:numId w:val="5"/>
        </w:numPr>
        <w:rPr>
          <w:bCs/>
        </w:rPr>
      </w:pPr>
      <w:r>
        <w:rPr>
          <w:bCs/>
        </w:rPr>
        <w:t>Political causes, candidates, organizations, or campaigns</w:t>
      </w:r>
    </w:p>
    <w:p w14:paraId="3D734D02" w14:textId="77777777" w:rsidR="0030417F" w:rsidRDefault="0030417F" w:rsidP="0030417F">
      <w:pPr>
        <w:pStyle w:val="ListParagraph"/>
        <w:numPr>
          <w:ilvl w:val="0"/>
          <w:numId w:val="5"/>
        </w:numPr>
        <w:rPr>
          <w:bCs/>
        </w:rPr>
      </w:pPr>
      <w:r>
        <w:rPr>
          <w:bCs/>
        </w:rPr>
        <w:t>Media Companies</w:t>
      </w:r>
    </w:p>
    <w:p w14:paraId="0B5E2005" w14:textId="77777777" w:rsidR="0030417F" w:rsidRDefault="0030417F" w:rsidP="0030417F">
      <w:pPr>
        <w:pStyle w:val="ListParagraph"/>
        <w:numPr>
          <w:ilvl w:val="0"/>
          <w:numId w:val="5"/>
        </w:numPr>
        <w:rPr>
          <w:bCs/>
        </w:rPr>
      </w:pPr>
      <w:r>
        <w:rPr>
          <w:bCs/>
        </w:rPr>
        <w:t>Fiscal agents</w:t>
      </w:r>
    </w:p>
    <w:p w14:paraId="34FF0E93" w14:textId="77777777" w:rsidR="0030417F" w:rsidRDefault="0030417F" w:rsidP="0030417F">
      <w:pPr>
        <w:pStyle w:val="ListParagraph"/>
        <w:numPr>
          <w:ilvl w:val="0"/>
          <w:numId w:val="5"/>
        </w:numPr>
        <w:rPr>
          <w:bCs/>
        </w:rPr>
      </w:pPr>
      <w:r>
        <w:rPr>
          <w:bCs/>
        </w:rPr>
        <w:t xml:space="preserve">Organizations that are adjuncts to for-profits organizations </w:t>
      </w:r>
    </w:p>
    <w:p w14:paraId="643F711B" w14:textId="6DE093E9" w:rsidR="0047384C" w:rsidRPr="0047384C" w:rsidRDefault="0030417F" w:rsidP="0047384C">
      <w:pPr>
        <w:pStyle w:val="ListParagraph"/>
        <w:numPr>
          <w:ilvl w:val="1"/>
          <w:numId w:val="5"/>
        </w:numPr>
        <w:rPr>
          <w:bCs/>
        </w:rPr>
      </w:pPr>
      <w:r>
        <w:rPr>
          <w:bCs/>
        </w:rPr>
        <w:t xml:space="preserve">“Friends of organizations” are eligible to apply only in lieu of the parent nonprofit organization </w:t>
      </w:r>
    </w:p>
    <w:p w14:paraId="7BFA02A5" w14:textId="77777777" w:rsidR="0030417F" w:rsidRDefault="0030417F" w:rsidP="0030417F">
      <w:pPr>
        <w:rPr>
          <w:b/>
        </w:rPr>
      </w:pPr>
    </w:p>
    <w:p w14:paraId="4144774A" w14:textId="77777777" w:rsidR="0030417F" w:rsidRPr="00331E13" w:rsidRDefault="0030417F" w:rsidP="0030417F">
      <w:pPr>
        <w:rPr>
          <w:bCs/>
        </w:rPr>
      </w:pPr>
      <w:r w:rsidRPr="00331E13">
        <w:rPr>
          <w:bCs/>
        </w:rPr>
        <w:t xml:space="preserve">In all cases, final eligibility decisions are made by the MCA Cultural Grants Committee and MCA’s Board of Directors. Approval of a previous project grant funding carries no assurance of continued funding in subsequent years. </w:t>
      </w:r>
    </w:p>
    <w:p w14:paraId="7AA13BC1" w14:textId="77777777" w:rsidR="0030417F" w:rsidRDefault="0030417F" w:rsidP="0030417F">
      <w:pPr>
        <w:rPr>
          <w:b/>
        </w:rPr>
      </w:pPr>
    </w:p>
    <w:p w14:paraId="167E4E35" w14:textId="77777777" w:rsidR="0030417F" w:rsidRDefault="0030417F" w:rsidP="0030417F">
      <w:pPr>
        <w:rPr>
          <w:b/>
        </w:rPr>
      </w:pPr>
      <w:r>
        <w:rPr>
          <w:b/>
        </w:rPr>
        <w:t xml:space="preserve">PROGRAMMING ELIGIBILITY </w:t>
      </w:r>
    </w:p>
    <w:p w14:paraId="068AFABC" w14:textId="77777777" w:rsidR="0030417F" w:rsidRPr="00515F9E" w:rsidRDefault="0030417F" w:rsidP="0030417F">
      <w:pPr>
        <w:rPr>
          <w:bCs/>
        </w:rPr>
      </w:pPr>
      <w:r>
        <w:rPr>
          <w:bCs/>
        </w:rPr>
        <w:t>The proposed project/programming eligibility must be arts, cultural, sciences, history, or heritage and occur in Marion County and open to the public. Examples include performances,</w:t>
      </w:r>
      <w:r w:rsidRPr="005701F0">
        <w:rPr>
          <w:bCs/>
        </w:rPr>
        <w:t xml:space="preserve"> festivals, </w:t>
      </w:r>
      <w:r>
        <w:rPr>
          <w:bCs/>
        </w:rPr>
        <w:t xml:space="preserve">arts education, and the commissioning of new works. </w:t>
      </w:r>
    </w:p>
    <w:p w14:paraId="1CC1A99C" w14:textId="77777777" w:rsidR="0030417F" w:rsidRPr="009353DE" w:rsidRDefault="0030417F" w:rsidP="0030417F">
      <w:pPr>
        <w:rPr>
          <w:bCs/>
        </w:rPr>
      </w:pPr>
    </w:p>
    <w:p w14:paraId="4C9478B3" w14:textId="0359199A" w:rsidR="0030417F" w:rsidRDefault="0030417F" w:rsidP="0030417F">
      <w:pPr>
        <w:rPr>
          <w:b/>
        </w:rPr>
      </w:pPr>
      <w:r>
        <w:rPr>
          <w:b/>
        </w:rPr>
        <w:t xml:space="preserve">Grant dollars cannot </w:t>
      </w:r>
      <w:r w:rsidR="007C3D31">
        <w:rPr>
          <w:b/>
        </w:rPr>
        <w:t>be</w:t>
      </w:r>
      <w:r w:rsidRPr="005701F0">
        <w:rPr>
          <w:bCs/>
        </w:rPr>
        <w:t xml:space="preserve"> </w:t>
      </w:r>
      <w:r w:rsidR="005701F0" w:rsidRPr="005701F0">
        <w:rPr>
          <w:b/>
        </w:rPr>
        <w:t>used</w:t>
      </w:r>
      <w:r w:rsidRPr="005701F0">
        <w:rPr>
          <w:b/>
        </w:rPr>
        <w:t xml:space="preserve"> </w:t>
      </w:r>
      <w:r>
        <w:rPr>
          <w:b/>
        </w:rPr>
        <w:t>for any of the restricted activities:</w:t>
      </w:r>
    </w:p>
    <w:p w14:paraId="76E73940" w14:textId="77777777" w:rsidR="0030417F" w:rsidRPr="00AB4315" w:rsidRDefault="0030417F" w:rsidP="0030417F">
      <w:pPr>
        <w:pStyle w:val="ListParagraph"/>
        <w:numPr>
          <w:ilvl w:val="0"/>
          <w:numId w:val="7"/>
        </w:numPr>
        <w:rPr>
          <w:b/>
        </w:rPr>
      </w:pPr>
      <w:r>
        <w:rPr>
          <w:bCs/>
        </w:rPr>
        <w:t>Capital expenditures (including acquisitions or equipment), or any building renovation, or remodeling of facilities</w:t>
      </w:r>
    </w:p>
    <w:p w14:paraId="1F8C3E5E" w14:textId="77777777" w:rsidR="0030417F" w:rsidRPr="00AB4315" w:rsidRDefault="0030417F" w:rsidP="0030417F">
      <w:pPr>
        <w:pStyle w:val="ListParagraph"/>
        <w:numPr>
          <w:ilvl w:val="0"/>
          <w:numId w:val="6"/>
        </w:numPr>
        <w:rPr>
          <w:b/>
        </w:rPr>
      </w:pPr>
      <w:r>
        <w:rPr>
          <w:bCs/>
        </w:rPr>
        <w:t>Deficit reductions, bad debts, contingencies, fines and penalties, interest payments, litigation costs, or any other comparable financial costs</w:t>
      </w:r>
    </w:p>
    <w:p w14:paraId="62416833" w14:textId="77777777" w:rsidR="0030417F" w:rsidRPr="00AB4315" w:rsidRDefault="0030417F" w:rsidP="0030417F">
      <w:pPr>
        <w:pStyle w:val="ListParagraph"/>
        <w:numPr>
          <w:ilvl w:val="0"/>
          <w:numId w:val="6"/>
        </w:numPr>
        <w:rPr>
          <w:b/>
        </w:rPr>
      </w:pPr>
      <w:r>
        <w:rPr>
          <w:bCs/>
        </w:rPr>
        <w:t>Contributions to reserves and/or endowment funds</w:t>
      </w:r>
    </w:p>
    <w:p w14:paraId="02475462" w14:textId="77777777" w:rsidR="0030417F" w:rsidRPr="002E0E2A" w:rsidRDefault="0030417F" w:rsidP="0030417F">
      <w:pPr>
        <w:pStyle w:val="ListParagraph"/>
        <w:numPr>
          <w:ilvl w:val="0"/>
          <w:numId w:val="6"/>
        </w:numPr>
        <w:rPr>
          <w:b/>
        </w:rPr>
      </w:pPr>
      <w:r>
        <w:rPr>
          <w:bCs/>
        </w:rPr>
        <w:t>Lobbying or attempting to influence federal, state, or local legislation</w:t>
      </w:r>
    </w:p>
    <w:p w14:paraId="057CDDA4" w14:textId="77777777" w:rsidR="0030417F" w:rsidRPr="002E0E2A" w:rsidRDefault="0030417F" w:rsidP="0030417F">
      <w:pPr>
        <w:pStyle w:val="ListParagraph"/>
        <w:numPr>
          <w:ilvl w:val="0"/>
          <w:numId w:val="6"/>
        </w:numPr>
        <w:rPr>
          <w:b/>
        </w:rPr>
      </w:pPr>
      <w:r>
        <w:rPr>
          <w:bCs/>
        </w:rPr>
        <w:t>Fundraising events, activities, and related expenses (example: benefits, dinners, sporting events)</w:t>
      </w:r>
    </w:p>
    <w:p w14:paraId="224F8C3D" w14:textId="77777777" w:rsidR="0030417F" w:rsidRPr="002E0E2A" w:rsidRDefault="0030417F" w:rsidP="0030417F">
      <w:pPr>
        <w:pStyle w:val="ListParagraph"/>
        <w:numPr>
          <w:ilvl w:val="0"/>
          <w:numId w:val="6"/>
        </w:numPr>
        <w:rPr>
          <w:b/>
        </w:rPr>
      </w:pPr>
      <w:r>
        <w:rPr>
          <w:bCs/>
        </w:rPr>
        <w:t>Awards, prizes, or scholarships for use outside the applicant’s programming</w:t>
      </w:r>
    </w:p>
    <w:p w14:paraId="60C3B858" w14:textId="77777777" w:rsidR="0030417F" w:rsidRPr="002E0E2A" w:rsidRDefault="0030417F" w:rsidP="0030417F">
      <w:pPr>
        <w:pStyle w:val="ListParagraph"/>
        <w:numPr>
          <w:ilvl w:val="0"/>
          <w:numId w:val="6"/>
        </w:numPr>
        <w:rPr>
          <w:b/>
        </w:rPr>
      </w:pPr>
      <w:r>
        <w:rPr>
          <w:bCs/>
        </w:rPr>
        <w:t>Tuition for academic study</w:t>
      </w:r>
    </w:p>
    <w:p w14:paraId="4F8401C4" w14:textId="77777777" w:rsidR="0030417F" w:rsidRPr="002E0E2A" w:rsidRDefault="0030417F" w:rsidP="0030417F">
      <w:pPr>
        <w:pStyle w:val="ListParagraph"/>
        <w:numPr>
          <w:ilvl w:val="0"/>
          <w:numId w:val="6"/>
        </w:numPr>
        <w:rPr>
          <w:b/>
        </w:rPr>
      </w:pPr>
      <w:r>
        <w:rPr>
          <w:bCs/>
        </w:rPr>
        <w:t>Food or beverage for hospitality or entertainment functions</w:t>
      </w:r>
    </w:p>
    <w:p w14:paraId="16448CAE" w14:textId="77777777" w:rsidR="0030417F" w:rsidRPr="002E0E2A" w:rsidRDefault="0030417F" w:rsidP="0030417F">
      <w:pPr>
        <w:pStyle w:val="ListParagraph"/>
        <w:numPr>
          <w:ilvl w:val="0"/>
          <w:numId w:val="6"/>
        </w:numPr>
        <w:rPr>
          <w:b/>
        </w:rPr>
      </w:pPr>
      <w:r>
        <w:rPr>
          <w:bCs/>
        </w:rPr>
        <w:t>Regranting, contributions, or donations</w:t>
      </w:r>
    </w:p>
    <w:p w14:paraId="5ED5A5D5" w14:textId="77777777" w:rsidR="0030417F" w:rsidRPr="00AB4315" w:rsidRDefault="0030417F" w:rsidP="0030417F">
      <w:pPr>
        <w:pStyle w:val="ListParagraph"/>
        <w:numPr>
          <w:ilvl w:val="0"/>
          <w:numId w:val="6"/>
        </w:numPr>
        <w:rPr>
          <w:b/>
        </w:rPr>
      </w:pPr>
      <w:r>
        <w:rPr>
          <w:bCs/>
        </w:rPr>
        <w:t>Projects benefits for-profit organizations</w:t>
      </w:r>
    </w:p>
    <w:p w14:paraId="4547C62D" w14:textId="77777777" w:rsidR="0030417F" w:rsidRPr="002E0E2A" w:rsidRDefault="0030417F" w:rsidP="0030417F">
      <w:pPr>
        <w:pStyle w:val="ListParagraph"/>
        <w:numPr>
          <w:ilvl w:val="0"/>
          <w:numId w:val="6"/>
        </w:numPr>
        <w:rPr>
          <w:b/>
        </w:rPr>
      </w:pPr>
      <w:r>
        <w:rPr>
          <w:bCs/>
        </w:rPr>
        <w:t>Private events closed to the public and activities restricted to an organization’s membership</w:t>
      </w:r>
    </w:p>
    <w:p w14:paraId="6D8A9877" w14:textId="77777777" w:rsidR="0030417F" w:rsidRPr="002E0E2A" w:rsidRDefault="0030417F" w:rsidP="0030417F">
      <w:pPr>
        <w:pStyle w:val="ListParagraph"/>
        <w:numPr>
          <w:ilvl w:val="0"/>
          <w:numId w:val="6"/>
        </w:numPr>
        <w:spacing w:before="240"/>
        <w:rPr>
          <w:b/>
        </w:rPr>
      </w:pPr>
      <w:r>
        <w:rPr>
          <w:bCs/>
        </w:rPr>
        <w:t>Excessive administrative costs (15% max allowed for internal salaries, costs related to owned venue)</w:t>
      </w:r>
    </w:p>
    <w:p w14:paraId="7908118D" w14:textId="7EDE47BA" w:rsidR="0030417F" w:rsidRPr="002E0E2A" w:rsidRDefault="0030417F" w:rsidP="0030417F">
      <w:pPr>
        <w:pStyle w:val="ListParagraph"/>
        <w:numPr>
          <w:ilvl w:val="0"/>
          <w:numId w:val="6"/>
        </w:numPr>
        <w:rPr>
          <w:b/>
        </w:rPr>
      </w:pPr>
      <w:r>
        <w:rPr>
          <w:bCs/>
        </w:rPr>
        <w:t>Projects in the following areas: beauty pageants, cosmetology, face painting, karaoke, magic shows, mineralogy, gemology, quiz bowls, pyrotechnics</w:t>
      </w:r>
    </w:p>
    <w:p w14:paraId="45964608" w14:textId="77777777" w:rsidR="0030417F" w:rsidRPr="002E0E2A" w:rsidRDefault="0030417F" w:rsidP="0030417F">
      <w:pPr>
        <w:pStyle w:val="ListParagraph"/>
        <w:numPr>
          <w:ilvl w:val="0"/>
          <w:numId w:val="6"/>
        </w:numPr>
        <w:rPr>
          <w:b/>
        </w:rPr>
      </w:pPr>
      <w:r>
        <w:rPr>
          <w:bCs/>
        </w:rPr>
        <w:t xml:space="preserve">Projects of a religious nature designed to promote or inhibit religious belief and/or practice and that have no basic underlying secular them or topics </w:t>
      </w:r>
    </w:p>
    <w:p w14:paraId="1D0E402E" w14:textId="77777777" w:rsidR="0030417F" w:rsidRDefault="0030417F" w:rsidP="0030417F">
      <w:pPr>
        <w:rPr>
          <w:b/>
        </w:rPr>
      </w:pPr>
    </w:p>
    <w:p w14:paraId="46C0F0EA" w14:textId="77777777" w:rsidR="0030417F" w:rsidRDefault="0030417F" w:rsidP="0030417F">
      <w:pPr>
        <w:rPr>
          <w:b/>
        </w:rPr>
      </w:pPr>
      <w:r w:rsidRPr="00CC1912">
        <w:rPr>
          <w:b/>
        </w:rPr>
        <w:t>OTHER NOTES</w:t>
      </w:r>
    </w:p>
    <w:p w14:paraId="72E7106E" w14:textId="77777777" w:rsidR="0030417F" w:rsidRPr="00E03CC2" w:rsidRDefault="0030417F" w:rsidP="0030417F">
      <w:pPr>
        <w:pStyle w:val="ListParagraph"/>
        <w:numPr>
          <w:ilvl w:val="0"/>
          <w:numId w:val="10"/>
        </w:numPr>
        <w:rPr>
          <w:b/>
        </w:rPr>
      </w:pPr>
      <w:r>
        <w:rPr>
          <w:bCs/>
        </w:rPr>
        <w:t xml:space="preserve">Do not wait until the last minute to begin your grant application. Leave extra time in case of questions or computer issues. Missing fields or required documents will prevent the submission of the grant to the committee. </w:t>
      </w:r>
    </w:p>
    <w:p w14:paraId="399D23C8" w14:textId="52CD962A" w:rsidR="00E03CC2" w:rsidRPr="00DD340D" w:rsidRDefault="00E03CC2" w:rsidP="0030417F">
      <w:pPr>
        <w:pStyle w:val="ListParagraph"/>
        <w:numPr>
          <w:ilvl w:val="0"/>
          <w:numId w:val="10"/>
        </w:numPr>
        <w:rPr>
          <w:b/>
        </w:rPr>
      </w:pPr>
      <w:r>
        <w:rPr>
          <w:bCs/>
        </w:rPr>
        <w:t>Make sure</w:t>
      </w:r>
      <w:r w:rsidR="001C1AB8">
        <w:rPr>
          <w:bCs/>
        </w:rPr>
        <w:t xml:space="preserve"> to save the link to your application before closing the window. </w:t>
      </w:r>
    </w:p>
    <w:p w14:paraId="044E49C4" w14:textId="2F827DF6" w:rsidR="00DD340D" w:rsidRPr="00504E90" w:rsidRDefault="00DD340D" w:rsidP="00DD340D">
      <w:pPr>
        <w:pStyle w:val="ListParagraph"/>
        <w:rPr>
          <w:b/>
        </w:rPr>
      </w:pPr>
      <w:r>
        <w:rPr>
          <w:noProof/>
        </w:rPr>
        <w:drawing>
          <wp:inline distT="0" distB="0" distL="0" distR="0" wp14:anchorId="46E6D774" wp14:editId="11C9C25C">
            <wp:extent cx="4829175" cy="2122567"/>
            <wp:effectExtent l="0" t="0" r="0" b="0"/>
            <wp:docPr id="1534412939" name="Picture 2"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412939" name="Picture 2" descr="A screenshot of a computer&#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8652" cy="2131128"/>
                    </a:xfrm>
                    <a:prstGeom prst="rect">
                      <a:avLst/>
                    </a:prstGeom>
                    <a:noFill/>
                    <a:ln>
                      <a:noFill/>
                    </a:ln>
                  </pic:spPr>
                </pic:pic>
              </a:graphicData>
            </a:graphic>
          </wp:inline>
        </w:drawing>
      </w:r>
    </w:p>
    <w:p w14:paraId="256E3A7B" w14:textId="77777777" w:rsidR="0030417F" w:rsidRPr="00CC1912" w:rsidRDefault="0030417F" w:rsidP="0030417F">
      <w:pPr>
        <w:pStyle w:val="ListParagraph"/>
        <w:numPr>
          <w:ilvl w:val="0"/>
          <w:numId w:val="10"/>
        </w:numPr>
        <w:rPr>
          <w:b/>
        </w:rPr>
      </w:pPr>
      <w:r>
        <w:rPr>
          <w:bCs/>
        </w:rPr>
        <w:t xml:space="preserve">Do not wait until the last minute to secure your organization’s UEI number </w:t>
      </w:r>
    </w:p>
    <w:p w14:paraId="10C65787" w14:textId="77777777" w:rsidR="0030417F" w:rsidRPr="00CC1912" w:rsidRDefault="0030417F" w:rsidP="0030417F">
      <w:pPr>
        <w:pStyle w:val="ListParagraph"/>
        <w:numPr>
          <w:ilvl w:val="0"/>
          <w:numId w:val="10"/>
        </w:numPr>
        <w:rPr>
          <w:b/>
        </w:rPr>
      </w:pPr>
      <w:r>
        <w:rPr>
          <w:bCs/>
        </w:rPr>
        <w:t>Contact and programming information for all grantees will be made available to the press, and MCA may use quotes or pictures from applications or reports publicly.</w:t>
      </w:r>
    </w:p>
    <w:p w14:paraId="24189D87" w14:textId="03E4808D" w:rsidR="0030417F" w:rsidRPr="00CC1912" w:rsidRDefault="0030417F" w:rsidP="0030417F">
      <w:pPr>
        <w:pStyle w:val="ListParagraph"/>
        <w:numPr>
          <w:ilvl w:val="0"/>
          <w:numId w:val="10"/>
        </w:numPr>
        <w:rPr>
          <w:b/>
        </w:rPr>
      </w:pPr>
      <w:r>
        <w:rPr>
          <w:bCs/>
        </w:rPr>
        <w:t xml:space="preserve">MCA’s Grant workshop may be viewed on MCA’s You Tube </w:t>
      </w:r>
      <w:r w:rsidR="00A96206">
        <w:rPr>
          <w:bCs/>
        </w:rPr>
        <w:t>posted 5 days following the May 7, 2025 workshop</w:t>
      </w:r>
    </w:p>
    <w:p w14:paraId="5F600275" w14:textId="325CFC07" w:rsidR="0030417F" w:rsidRPr="00CC1912" w:rsidRDefault="0030417F" w:rsidP="0030417F">
      <w:pPr>
        <w:pStyle w:val="ListParagraph"/>
        <w:numPr>
          <w:ilvl w:val="0"/>
          <w:numId w:val="10"/>
        </w:numPr>
        <w:rPr>
          <w:b/>
        </w:rPr>
      </w:pPr>
      <w:r>
        <w:rPr>
          <w:bCs/>
        </w:rPr>
        <w:t xml:space="preserve">Contact for application questions or technical support: </w:t>
      </w:r>
      <w:hyperlink r:id="rId11" w:history="1">
        <w:r w:rsidR="003A1419" w:rsidRPr="008417B8">
          <w:rPr>
            <w:rStyle w:val="Hyperlink"/>
          </w:rPr>
          <w:t>jayebaillie@mcaocala.org</w:t>
        </w:r>
      </w:hyperlink>
      <w:r w:rsidR="003A1419">
        <w:t xml:space="preserve"> </w:t>
      </w:r>
    </w:p>
    <w:p w14:paraId="014B281C" w14:textId="77777777" w:rsidR="0030417F" w:rsidRDefault="0030417F" w:rsidP="0030417F">
      <w:pPr>
        <w:rPr>
          <w:b/>
        </w:rPr>
      </w:pPr>
    </w:p>
    <w:p w14:paraId="3B4E7956" w14:textId="77777777" w:rsidR="0030417F" w:rsidRDefault="0030417F" w:rsidP="0030417F">
      <w:pPr>
        <w:rPr>
          <w:b/>
        </w:rPr>
      </w:pPr>
    </w:p>
    <w:p w14:paraId="4C91B6CD" w14:textId="77777777" w:rsidR="0030417F" w:rsidRPr="00FC3A53" w:rsidRDefault="0030417F" w:rsidP="0030417F">
      <w:pPr>
        <w:rPr>
          <w:b/>
        </w:rPr>
      </w:pPr>
      <w:r w:rsidRPr="00FC3A53">
        <w:rPr>
          <w:b/>
        </w:rPr>
        <w:t xml:space="preserve">EVALUATION </w:t>
      </w:r>
      <w:r>
        <w:rPr>
          <w:b/>
        </w:rPr>
        <w:t>AND DECISION PROCESS</w:t>
      </w:r>
    </w:p>
    <w:p w14:paraId="0D1EC49F" w14:textId="77777777" w:rsidR="0030417F" w:rsidRDefault="0030417F" w:rsidP="0030417F">
      <w:pPr>
        <w:rPr>
          <w:bCs/>
        </w:rPr>
      </w:pPr>
      <w:r>
        <w:rPr>
          <w:bCs/>
        </w:rPr>
        <w:t>The Cultural Grants Committee will evaluate applicants based on the following criteria:</w:t>
      </w:r>
    </w:p>
    <w:p w14:paraId="7069BBAF" w14:textId="77777777" w:rsidR="0030417F" w:rsidRPr="007B4091" w:rsidRDefault="0030417F" w:rsidP="0030417F">
      <w:pPr>
        <w:rPr>
          <w:bCs/>
        </w:rPr>
      </w:pPr>
    </w:p>
    <w:tbl>
      <w:tblPr>
        <w:tblW w:w="10550" w:type="dxa"/>
        <w:tblInd w:w="-635" w:type="dxa"/>
        <w:tblCellMar>
          <w:left w:w="0" w:type="dxa"/>
          <w:right w:w="0" w:type="dxa"/>
        </w:tblCellMar>
        <w:tblLook w:val="0000" w:firstRow="0" w:lastRow="0" w:firstColumn="0" w:lastColumn="0" w:noHBand="0" w:noVBand="0"/>
      </w:tblPr>
      <w:tblGrid>
        <w:gridCol w:w="1609"/>
        <w:gridCol w:w="7285"/>
        <w:gridCol w:w="1637"/>
        <w:gridCol w:w="19"/>
      </w:tblGrid>
      <w:tr w:rsidR="0030417F" w:rsidRPr="007B4091" w14:paraId="079AA9EB" w14:textId="77777777" w:rsidTr="00C768D3">
        <w:trPr>
          <w:trHeight w:val="488"/>
        </w:trPr>
        <w:tc>
          <w:tcPr>
            <w:tcW w:w="1609" w:type="dxa"/>
            <w:tcBorders>
              <w:top w:val="single" w:sz="4" w:space="0" w:color="F7C8AC"/>
              <w:left w:val="single" w:sz="4" w:space="0" w:color="F7C8AC"/>
              <w:bottom w:val="single" w:sz="12" w:space="0" w:color="F4AE83"/>
              <w:right w:val="single" w:sz="4" w:space="0" w:color="F7C8AC"/>
            </w:tcBorders>
          </w:tcPr>
          <w:p w14:paraId="2352240F" w14:textId="77777777" w:rsidR="0030417F" w:rsidRPr="007B4091" w:rsidRDefault="0030417F" w:rsidP="00C768D3">
            <w:pPr>
              <w:rPr>
                <w:b/>
              </w:rPr>
            </w:pPr>
            <w:r w:rsidRPr="007B4091">
              <w:rPr>
                <w:b/>
              </w:rPr>
              <w:t>Criteria</w:t>
            </w:r>
          </w:p>
        </w:tc>
        <w:tc>
          <w:tcPr>
            <w:tcW w:w="7285" w:type="dxa"/>
            <w:tcBorders>
              <w:top w:val="single" w:sz="4" w:space="0" w:color="F7C8AC"/>
              <w:left w:val="single" w:sz="4" w:space="0" w:color="F7C8AC"/>
              <w:bottom w:val="single" w:sz="12" w:space="0" w:color="F4AE83"/>
              <w:right w:val="single" w:sz="4" w:space="0" w:color="F7C8AC"/>
            </w:tcBorders>
          </w:tcPr>
          <w:p w14:paraId="213E141D" w14:textId="77777777" w:rsidR="0030417F" w:rsidRPr="007B4091" w:rsidRDefault="0030417F" w:rsidP="00C768D3">
            <w:pPr>
              <w:rPr>
                <w:b/>
              </w:rPr>
            </w:pPr>
            <w:r w:rsidRPr="007B4091">
              <w:rPr>
                <w:b/>
              </w:rPr>
              <w:t>Definition</w:t>
            </w:r>
          </w:p>
        </w:tc>
        <w:tc>
          <w:tcPr>
            <w:tcW w:w="1637" w:type="dxa"/>
            <w:tcBorders>
              <w:top w:val="single" w:sz="4" w:space="0" w:color="F7C8AC"/>
              <w:left w:val="single" w:sz="4" w:space="0" w:color="F7C8AC"/>
              <w:bottom w:val="single" w:sz="12" w:space="0" w:color="F4AE83"/>
              <w:right w:val="none" w:sz="6" w:space="0" w:color="auto"/>
            </w:tcBorders>
          </w:tcPr>
          <w:p w14:paraId="65966D02" w14:textId="77777777" w:rsidR="0030417F" w:rsidRPr="007B4091" w:rsidRDefault="0030417F" w:rsidP="00C768D3">
            <w:pPr>
              <w:rPr>
                <w:b/>
              </w:rPr>
            </w:pPr>
            <w:r w:rsidRPr="007B4091">
              <w:rPr>
                <w:b/>
              </w:rPr>
              <w:t>Score Impact</w:t>
            </w:r>
          </w:p>
        </w:tc>
        <w:tc>
          <w:tcPr>
            <w:tcW w:w="19" w:type="dxa"/>
            <w:tcBorders>
              <w:top w:val="single" w:sz="4" w:space="0" w:color="F7C8AC"/>
              <w:left w:val="single" w:sz="4" w:space="0" w:color="F7C8AC"/>
              <w:bottom w:val="single" w:sz="12" w:space="0" w:color="F4AE83"/>
              <w:right w:val="none" w:sz="6" w:space="0" w:color="auto"/>
            </w:tcBorders>
          </w:tcPr>
          <w:p w14:paraId="56E0C2B6" w14:textId="77777777" w:rsidR="0030417F" w:rsidRPr="007B4091" w:rsidRDefault="0030417F" w:rsidP="00C768D3">
            <w:pPr>
              <w:rPr>
                <w:bCs/>
              </w:rPr>
            </w:pPr>
          </w:p>
        </w:tc>
      </w:tr>
      <w:bookmarkStart w:id="2" w:name="_Hlk132028970"/>
      <w:tr w:rsidR="0030417F" w:rsidRPr="007B4091" w14:paraId="27900213" w14:textId="77777777" w:rsidTr="00C768D3">
        <w:trPr>
          <w:trHeight w:val="735"/>
        </w:trPr>
        <w:tc>
          <w:tcPr>
            <w:tcW w:w="1609" w:type="dxa"/>
            <w:vMerge w:val="restart"/>
            <w:tcBorders>
              <w:top w:val="single" w:sz="12" w:space="0" w:color="F4AE83"/>
              <w:left w:val="single" w:sz="4" w:space="0" w:color="F7C8AC"/>
              <w:bottom w:val="single" w:sz="4" w:space="0" w:color="F7C8AC"/>
              <w:right w:val="single" w:sz="4" w:space="0" w:color="F7C8AC"/>
            </w:tcBorders>
          </w:tcPr>
          <w:p w14:paraId="53756221" w14:textId="77777777" w:rsidR="0030417F" w:rsidRPr="007B4091" w:rsidRDefault="0030417F" w:rsidP="00C768D3">
            <w:pPr>
              <w:rPr>
                <w:bCs/>
              </w:rPr>
            </w:pPr>
            <w:r w:rsidRPr="007B4091">
              <w:rPr>
                <w:bCs/>
              </w:rPr>
              <w:fldChar w:fldCharType="begin"/>
            </w:r>
            <w:r w:rsidRPr="007B4091">
              <w:rPr>
                <w:bCs/>
              </w:rPr>
              <w:instrText xml:space="preserve"> HYPERLINK "https://www.arts.gov/grants/grants-for-arts-projects/review-criteria" </w:instrText>
            </w:r>
            <w:r w:rsidRPr="007B4091">
              <w:rPr>
                <w:bCs/>
              </w:rPr>
            </w:r>
            <w:r w:rsidRPr="007B4091">
              <w:rPr>
                <w:bCs/>
              </w:rPr>
              <w:fldChar w:fldCharType="separate"/>
            </w:r>
            <w:r w:rsidRPr="007B4091">
              <w:rPr>
                <w:rStyle w:val="Hyperlink"/>
                <w:bCs/>
              </w:rPr>
              <w:t>Artistic Excellence</w:t>
            </w:r>
            <w:r w:rsidRPr="007B4091">
              <w:rPr>
                <w:bCs/>
              </w:rPr>
              <w:fldChar w:fldCharType="end"/>
            </w:r>
          </w:p>
        </w:tc>
        <w:tc>
          <w:tcPr>
            <w:tcW w:w="7285" w:type="dxa"/>
            <w:tcBorders>
              <w:top w:val="single" w:sz="12" w:space="0" w:color="F4AE83"/>
              <w:left w:val="single" w:sz="4" w:space="0" w:color="F7C8AC"/>
              <w:bottom w:val="single" w:sz="4" w:space="0" w:color="F7C8AC"/>
              <w:right w:val="single" w:sz="4" w:space="0" w:color="F7C8AC"/>
            </w:tcBorders>
          </w:tcPr>
          <w:p w14:paraId="594269F2" w14:textId="77777777" w:rsidR="0030417F" w:rsidRPr="007B4091" w:rsidRDefault="0030417F" w:rsidP="00C768D3">
            <w:pPr>
              <w:rPr>
                <w:bCs/>
              </w:rPr>
            </w:pPr>
            <w:r w:rsidRPr="007B4091">
              <w:rPr>
                <w:bCs/>
              </w:rPr>
              <w:t>Quality of the artists, organizations, arts education providers, works</w:t>
            </w:r>
            <w:r>
              <w:rPr>
                <w:bCs/>
              </w:rPr>
              <w:t xml:space="preserve"> </w:t>
            </w:r>
            <w:r w:rsidRPr="007B4091">
              <w:rPr>
                <w:bCs/>
              </w:rPr>
              <w:t>of art, and/or services that the applicant will involve</w:t>
            </w:r>
            <w:r>
              <w:rPr>
                <w:bCs/>
              </w:rPr>
              <w:t>.</w:t>
            </w:r>
          </w:p>
        </w:tc>
        <w:tc>
          <w:tcPr>
            <w:tcW w:w="1637" w:type="dxa"/>
            <w:vMerge w:val="restart"/>
            <w:tcBorders>
              <w:top w:val="single" w:sz="12" w:space="0" w:color="F4AE83"/>
              <w:left w:val="single" w:sz="4" w:space="0" w:color="F7C8AC"/>
              <w:bottom w:val="single" w:sz="4" w:space="0" w:color="F7C8AC"/>
              <w:right w:val="none" w:sz="6" w:space="0" w:color="auto"/>
            </w:tcBorders>
          </w:tcPr>
          <w:p w14:paraId="63E76093" w14:textId="77777777" w:rsidR="0030417F" w:rsidRPr="007B4091" w:rsidRDefault="0030417F" w:rsidP="00C768D3">
            <w:pPr>
              <w:jc w:val="center"/>
              <w:rPr>
                <w:bCs/>
              </w:rPr>
            </w:pPr>
          </w:p>
          <w:p w14:paraId="3E70C450" w14:textId="77777777" w:rsidR="0030417F" w:rsidRPr="007B4091" w:rsidRDefault="0030417F" w:rsidP="00C768D3">
            <w:pPr>
              <w:jc w:val="center"/>
              <w:rPr>
                <w:bCs/>
              </w:rPr>
            </w:pPr>
            <w:r w:rsidRPr="007B4091">
              <w:rPr>
                <w:bCs/>
              </w:rPr>
              <w:t>30 Points</w:t>
            </w:r>
          </w:p>
        </w:tc>
        <w:tc>
          <w:tcPr>
            <w:tcW w:w="19" w:type="dxa"/>
            <w:tcBorders>
              <w:top w:val="single" w:sz="12" w:space="0" w:color="F4AE83"/>
              <w:left w:val="single" w:sz="4" w:space="0" w:color="F7C8AC"/>
              <w:bottom w:val="single" w:sz="4" w:space="0" w:color="F7C8AC"/>
              <w:right w:val="none" w:sz="6" w:space="0" w:color="auto"/>
            </w:tcBorders>
          </w:tcPr>
          <w:p w14:paraId="072813E6" w14:textId="77777777" w:rsidR="0030417F" w:rsidRPr="007B4091" w:rsidRDefault="0030417F" w:rsidP="00C768D3">
            <w:pPr>
              <w:rPr>
                <w:bCs/>
              </w:rPr>
            </w:pPr>
          </w:p>
        </w:tc>
      </w:tr>
      <w:bookmarkEnd w:id="2"/>
      <w:tr w:rsidR="0030417F" w:rsidRPr="007B4091" w14:paraId="5754DB57" w14:textId="77777777" w:rsidTr="00C768D3">
        <w:trPr>
          <w:trHeight w:val="438"/>
        </w:trPr>
        <w:tc>
          <w:tcPr>
            <w:tcW w:w="1609" w:type="dxa"/>
            <w:vMerge/>
            <w:tcBorders>
              <w:top w:val="single" w:sz="12" w:space="0" w:color="F4AE83"/>
              <w:left w:val="single" w:sz="4" w:space="0" w:color="F7C8AC"/>
              <w:bottom w:val="single" w:sz="4" w:space="0" w:color="F7C8AC"/>
              <w:right w:val="single" w:sz="4" w:space="0" w:color="F7C8AC"/>
            </w:tcBorders>
          </w:tcPr>
          <w:p w14:paraId="5AAC4A20" w14:textId="77777777" w:rsidR="0030417F" w:rsidRPr="007B4091" w:rsidRDefault="0030417F" w:rsidP="00C768D3">
            <w:pPr>
              <w:rPr>
                <w:bCs/>
              </w:rPr>
            </w:pPr>
          </w:p>
        </w:tc>
        <w:tc>
          <w:tcPr>
            <w:tcW w:w="7285" w:type="dxa"/>
            <w:tcBorders>
              <w:top w:val="single" w:sz="12" w:space="0" w:color="F4AE83"/>
              <w:left w:val="single" w:sz="4" w:space="0" w:color="F7C8AC"/>
              <w:bottom w:val="single" w:sz="4" w:space="0" w:color="F7C8AC"/>
              <w:right w:val="single" w:sz="4" w:space="0" w:color="F7C8AC"/>
            </w:tcBorders>
          </w:tcPr>
          <w:p w14:paraId="1EA48272" w14:textId="77777777" w:rsidR="0030417F" w:rsidRPr="007B4091" w:rsidRDefault="0030417F" w:rsidP="00C768D3">
            <w:pPr>
              <w:rPr>
                <w:bCs/>
              </w:rPr>
            </w:pPr>
            <w:r w:rsidRPr="007B4091">
              <w:rPr>
                <w:bCs/>
              </w:rPr>
              <w:t>Innovation and creativity in programming and artist selection</w:t>
            </w:r>
          </w:p>
        </w:tc>
        <w:tc>
          <w:tcPr>
            <w:tcW w:w="1637" w:type="dxa"/>
            <w:vMerge/>
            <w:tcBorders>
              <w:top w:val="single" w:sz="12" w:space="0" w:color="F4AE83"/>
              <w:left w:val="single" w:sz="4" w:space="0" w:color="F7C8AC"/>
              <w:bottom w:val="single" w:sz="4" w:space="0" w:color="F7C8AC"/>
              <w:right w:val="none" w:sz="6" w:space="0" w:color="auto"/>
            </w:tcBorders>
          </w:tcPr>
          <w:p w14:paraId="282D1A92" w14:textId="77777777" w:rsidR="0030417F" w:rsidRPr="007B4091" w:rsidRDefault="0030417F" w:rsidP="00C768D3">
            <w:pPr>
              <w:jc w:val="center"/>
              <w:rPr>
                <w:bCs/>
              </w:rPr>
            </w:pPr>
          </w:p>
        </w:tc>
        <w:tc>
          <w:tcPr>
            <w:tcW w:w="19" w:type="dxa"/>
            <w:tcBorders>
              <w:top w:val="single" w:sz="12" w:space="0" w:color="F4AE83"/>
              <w:left w:val="single" w:sz="4" w:space="0" w:color="F7C8AC"/>
              <w:bottom w:val="single" w:sz="4" w:space="0" w:color="F7C8AC"/>
              <w:right w:val="none" w:sz="6" w:space="0" w:color="auto"/>
            </w:tcBorders>
          </w:tcPr>
          <w:p w14:paraId="65610DA2" w14:textId="77777777" w:rsidR="0030417F" w:rsidRPr="007B4091" w:rsidRDefault="0030417F" w:rsidP="00C768D3">
            <w:pPr>
              <w:rPr>
                <w:bCs/>
              </w:rPr>
            </w:pPr>
          </w:p>
        </w:tc>
      </w:tr>
      <w:tr w:rsidR="0030417F" w:rsidRPr="007B4091" w14:paraId="0377ADCE" w14:textId="77777777" w:rsidTr="00C768D3">
        <w:trPr>
          <w:trHeight w:val="933"/>
        </w:trPr>
        <w:tc>
          <w:tcPr>
            <w:tcW w:w="1609" w:type="dxa"/>
            <w:vMerge w:val="restart"/>
            <w:tcBorders>
              <w:top w:val="single" w:sz="4" w:space="0" w:color="F7C8AC"/>
              <w:left w:val="single" w:sz="4" w:space="0" w:color="F7C8AC"/>
              <w:bottom w:val="none" w:sz="6" w:space="0" w:color="auto"/>
              <w:right w:val="single" w:sz="4" w:space="0" w:color="F7C8AC"/>
            </w:tcBorders>
          </w:tcPr>
          <w:p w14:paraId="6D6F6A20" w14:textId="77777777" w:rsidR="0030417F" w:rsidRPr="007B4091" w:rsidRDefault="0030417F" w:rsidP="00C768D3">
            <w:pPr>
              <w:rPr>
                <w:bCs/>
              </w:rPr>
            </w:pPr>
            <w:hyperlink r:id="rId12" w:history="1">
              <w:r w:rsidRPr="007B4091">
                <w:rPr>
                  <w:rStyle w:val="Hyperlink"/>
                  <w:bCs/>
                </w:rPr>
                <w:t>Artistic Merit</w:t>
              </w:r>
            </w:hyperlink>
          </w:p>
          <w:p w14:paraId="5659A898" w14:textId="77777777" w:rsidR="0030417F" w:rsidRDefault="0030417F" w:rsidP="00C768D3">
            <w:pPr>
              <w:rPr>
                <w:bCs/>
              </w:rPr>
            </w:pPr>
          </w:p>
          <w:p w14:paraId="48A5A131" w14:textId="77777777" w:rsidR="0030417F" w:rsidRDefault="0030417F" w:rsidP="00C768D3">
            <w:pPr>
              <w:rPr>
                <w:bCs/>
              </w:rPr>
            </w:pPr>
          </w:p>
          <w:p w14:paraId="1525A3B4" w14:textId="77777777" w:rsidR="0030417F" w:rsidRDefault="0030417F" w:rsidP="00C768D3">
            <w:pPr>
              <w:rPr>
                <w:bCs/>
              </w:rPr>
            </w:pPr>
          </w:p>
          <w:p w14:paraId="6005EE21" w14:textId="77777777" w:rsidR="0030417F" w:rsidRDefault="0030417F" w:rsidP="00C768D3">
            <w:pPr>
              <w:rPr>
                <w:bCs/>
              </w:rPr>
            </w:pPr>
          </w:p>
          <w:p w14:paraId="5E8D5B9A" w14:textId="77777777" w:rsidR="0030417F" w:rsidRDefault="0030417F" w:rsidP="00C768D3">
            <w:pPr>
              <w:rPr>
                <w:bCs/>
              </w:rPr>
            </w:pPr>
          </w:p>
          <w:p w14:paraId="70000732" w14:textId="77777777" w:rsidR="0030417F" w:rsidRDefault="0030417F" w:rsidP="00C768D3">
            <w:pPr>
              <w:rPr>
                <w:bCs/>
              </w:rPr>
            </w:pPr>
          </w:p>
          <w:p w14:paraId="4C210AB7" w14:textId="77777777" w:rsidR="0030417F" w:rsidRDefault="0030417F" w:rsidP="00C768D3">
            <w:pPr>
              <w:rPr>
                <w:bCs/>
              </w:rPr>
            </w:pPr>
          </w:p>
          <w:p w14:paraId="2AA4EA92" w14:textId="77777777" w:rsidR="0030417F" w:rsidRDefault="0030417F" w:rsidP="00C768D3">
            <w:pPr>
              <w:rPr>
                <w:bCs/>
              </w:rPr>
            </w:pPr>
          </w:p>
          <w:p w14:paraId="13C79F96" w14:textId="77777777" w:rsidR="0030417F" w:rsidRDefault="0030417F" w:rsidP="00C768D3">
            <w:pPr>
              <w:rPr>
                <w:bCs/>
              </w:rPr>
            </w:pPr>
          </w:p>
          <w:p w14:paraId="6C41E7F9" w14:textId="77777777" w:rsidR="0030417F" w:rsidRDefault="0030417F" w:rsidP="00C768D3">
            <w:pPr>
              <w:rPr>
                <w:bCs/>
              </w:rPr>
            </w:pPr>
          </w:p>
          <w:p w14:paraId="376D3B49" w14:textId="77777777" w:rsidR="0030417F" w:rsidRDefault="0030417F" w:rsidP="00C768D3">
            <w:pPr>
              <w:rPr>
                <w:bCs/>
              </w:rPr>
            </w:pPr>
          </w:p>
          <w:p w14:paraId="748834DC" w14:textId="77777777" w:rsidR="0030417F" w:rsidRDefault="0030417F" w:rsidP="00C768D3">
            <w:pPr>
              <w:rPr>
                <w:bCs/>
              </w:rPr>
            </w:pPr>
          </w:p>
          <w:p w14:paraId="2860D7DB" w14:textId="77777777" w:rsidR="0030417F" w:rsidRDefault="0030417F" w:rsidP="00C768D3">
            <w:pPr>
              <w:rPr>
                <w:bCs/>
              </w:rPr>
            </w:pPr>
          </w:p>
          <w:p w14:paraId="2645B0D2" w14:textId="77777777" w:rsidR="0030417F" w:rsidRDefault="0030417F" w:rsidP="00C768D3">
            <w:pPr>
              <w:rPr>
                <w:bCs/>
              </w:rPr>
            </w:pPr>
          </w:p>
          <w:p w14:paraId="5A9D2DF9" w14:textId="77777777" w:rsidR="0030417F" w:rsidRDefault="0030417F" w:rsidP="00C768D3">
            <w:pPr>
              <w:rPr>
                <w:bCs/>
              </w:rPr>
            </w:pPr>
          </w:p>
          <w:p w14:paraId="5AF98073" w14:textId="77777777" w:rsidR="0030417F" w:rsidRDefault="0030417F" w:rsidP="00C768D3">
            <w:pPr>
              <w:rPr>
                <w:bCs/>
              </w:rPr>
            </w:pPr>
          </w:p>
          <w:p w14:paraId="30C19132" w14:textId="77777777" w:rsidR="0030417F" w:rsidRDefault="0030417F" w:rsidP="00C768D3">
            <w:pPr>
              <w:rPr>
                <w:bCs/>
              </w:rPr>
            </w:pPr>
          </w:p>
          <w:p w14:paraId="0CEC07B4" w14:textId="77777777" w:rsidR="0030417F" w:rsidRDefault="0030417F" w:rsidP="00C768D3">
            <w:pPr>
              <w:rPr>
                <w:b/>
              </w:rPr>
            </w:pPr>
          </w:p>
          <w:p w14:paraId="55F04461" w14:textId="77777777" w:rsidR="0030417F" w:rsidRPr="0084658C" w:rsidRDefault="0030417F" w:rsidP="00C768D3">
            <w:pPr>
              <w:rPr>
                <w:bCs/>
                <w:i/>
                <w:iCs/>
              </w:rPr>
            </w:pPr>
            <w:r w:rsidRPr="0084658C">
              <w:rPr>
                <w:bCs/>
                <w:i/>
                <w:iCs/>
              </w:rPr>
              <w:t>Community Outreach and Impact</w:t>
            </w:r>
          </w:p>
          <w:p w14:paraId="7D7C1BB8" w14:textId="77777777" w:rsidR="0030417F" w:rsidRPr="007B4091" w:rsidRDefault="0030417F" w:rsidP="00C768D3">
            <w:pPr>
              <w:rPr>
                <w:bCs/>
              </w:rPr>
            </w:pPr>
          </w:p>
        </w:tc>
        <w:tc>
          <w:tcPr>
            <w:tcW w:w="7285" w:type="dxa"/>
            <w:tcBorders>
              <w:top w:val="single" w:sz="4" w:space="0" w:color="F7C8AC"/>
              <w:left w:val="single" w:sz="4" w:space="0" w:color="F7C8AC"/>
              <w:bottom w:val="single" w:sz="4" w:space="0" w:color="F7C8AC"/>
              <w:right w:val="single" w:sz="4" w:space="0" w:color="F7C8AC"/>
            </w:tcBorders>
          </w:tcPr>
          <w:p w14:paraId="1D4063EC" w14:textId="77777777" w:rsidR="0030417F" w:rsidRPr="007B4091" w:rsidRDefault="0030417F" w:rsidP="00C768D3">
            <w:pPr>
              <w:rPr>
                <w:bCs/>
              </w:rPr>
            </w:pPr>
            <w:r w:rsidRPr="007B4091">
              <w:rPr>
                <w:bCs/>
              </w:rPr>
              <w:t>Importance and appropriateness of the goals to the organization’s mission, artistic field, artists, audience, community, and/or constituency.</w:t>
            </w:r>
          </w:p>
        </w:tc>
        <w:tc>
          <w:tcPr>
            <w:tcW w:w="1637" w:type="dxa"/>
            <w:vMerge w:val="restart"/>
            <w:tcBorders>
              <w:top w:val="single" w:sz="4" w:space="0" w:color="F7C8AC"/>
              <w:left w:val="single" w:sz="4" w:space="0" w:color="F7C8AC"/>
              <w:bottom w:val="none" w:sz="6" w:space="0" w:color="auto"/>
              <w:right w:val="none" w:sz="6" w:space="0" w:color="auto"/>
            </w:tcBorders>
          </w:tcPr>
          <w:p w14:paraId="4A4614CC" w14:textId="77777777" w:rsidR="0030417F" w:rsidRPr="007B4091" w:rsidRDefault="0030417F" w:rsidP="00C768D3">
            <w:pPr>
              <w:jc w:val="center"/>
              <w:rPr>
                <w:bCs/>
              </w:rPr>
            </w:pPr>
          </w:p>
          <w:p w14:paraId="7D98BB8F" w14:textId="77777777" w:rsidR="0030417F" w:rsidRDefault="0030417F" w:rsidP="00C768D3">
            <w:pPr>
              <w:jc w:val="center"/>
              <w:rPr>
                <w:bCs/>
              </w:rPr>
            </w:pPr>
            <w:r w:rsidRPr="007B4091">
              <w:rPr>
                <w:bCs/>
              </w:rPr>
              <w:t>40 Points</w:t>
            </w:r>
          </w:p>
          <w:p w14:paraId="67605AE7" w14:textId="77777777" w:rsidR="0030417F" w:rsidRDefault="0030417F" w:rsidP="00C768D3">
            <w:pPr>
              <w:rPr>
                <w:bCs/>
              </w:rPr>
            </w:pPr>
          </w:p>
          <w:p w14:paraId="768C36CB" w14:textId="77777777" w:rsidR="0030417F" w:rsidRDefault="0030417F" w:rsidP="00C768D3">
            <w:pPr>
              <w:jc w:val="center"/>
              <w:rPr>
                <w:bCs/>
              </w:rPr>
            </w:pPr>
          </w:p>
          <w:p w14:paraId="7C1EF2A4" w14:textId="77777777" w:rsidR="0030417F" w:rsidRDefault="0030417F" w:rsidP="00C768D3">
            <w:pPr>
              <w:jc w:val="center"/>
              <w:rPr>
                <w:bCs/>
              </w:rPr>
            </w:pPr>
          </w:p>
          <w:p w14:paraId="4A4F892B" w14:textId="77777777" w:rsidR="0030417F" w:rsidRDefault="0030417F" w:rsidP="00C768D3">
            <w:pPr>
              <w:jc w:val="center"/>
              <w:rPr>
                <w:bCs/>
              </w:rPr>
            </w:pPr>
          </w:p>
          <w:p w14:paraId="684E1FBE" w14:textId="77777777" w:rsidR="0030417F" w:rsidRDefault="0030417F" w:rsidP="00C768D3">
            <w:pPr>
              <w:jc w:val="center"/>
              <w:rPr>
                <w:bCs/>
              </w:rPr>
            </w:pPr>
          </w:p>
          <w:p w14:paraId="1824B629" w14:textId="77777777" w:rsidR="0030417F" w:rsidRDefault="0030417F" w:rsidP="00C768D3">
            <w:pPr>
              <w:jc w:val="center"/>
              <w:rPr>
                <w:bCs/>
              </w:rPr>
            </w:pPr>
          </w:p>
          <w:p w14:paraId="536CF937" w14:textId="77777777" w:rsidR="0030417F" w:rsidRDefault="0030417F" w:rsidP="00C768D3">
            <w:pPr>
              <w:jc w:val="center"/>
              <w:rPr>
                <w:bCs/>
              </w:rPr>
            </w:pPr>
          </w:p>
          <w:p w14:paraId="16A1A746" w14:textId="77777777" w:rsidR="0030417F" w:rsidRDefault="0030417F" w:rsidP="00C768D3">
            <w:pPr>
              <w:jc w:val="center"/>
              <w:rPr>
                <w:bCs/>
              </w:rPr>
            </w:pPr>
          </w:p>
          <w:p w14:paraId="529AD84F" w14:textId="77777777" w:rsidR="0030417F" w:rsidRDefault="0030417F" w:rsidP="00C768D3">
            <w:pPr>
              <w:jc w:val="center"/>
              <w:rPr>
                <w:bCs/>
              </w:rPr>
            </w:pPr>
          </w:p>
          <w:p w14:paraId="19692B2A" w14:textId="77777777" w:rsidR="0030417F" w:rsidRDefault="0030417F" w:rsidP="00C768D3">
            <w:pPr>
              <w:jc w:val="center"/>
              <w:rPr>
                <w:bCs/>
              </w:rPr>
            </w:pPr>
          </w:p>
          <w:p w14:paraId="72A9A347" w14:textId="77777777" w:rsidR="0030417F" w:rsidRDefault="0030417F" w:rsidP="00C768D3">
            <w:pPr>
              <w:jc w:val="center"/>
              <w:rPr>
                <w:bCs/>
              </w:rPr>
            </w:pPr>
          </w:p>
          <w:p w14:paraId="70E9BD65" w14:textId="77777777" w:rsidR="0030417F" w:rsidRDefault="0030417F" w:rsidP="00C768D3">
            <w:pPr>
              <w:jc w:val="center"/>
              <w:rPr>
                <w:bCs/>
              </w:rPr>
            </w:pPr>
          </w:p>
          <w:p w14:paraId="5213CD64" w14:textId="77777777" w:rsidR="0030417F" w:rsidRDefault="0030417F" w:rsidP="00C768D3">
            <w:pPr>
              <w:jc w:val="center"/>
              <w:rPr>
                <w:bCs/>
              </w:rPr>
            </w:pPr>
          </w:p>
          <w:p w14:paraId="5CBB5F5A" w14:textId="77777777" w:rsidR="0030417F" w:rsidRDefault="0030417F" w:rsidP="00C768D3">
            <w:pPr>
              <w:jc w:val="center"/>
              <w:rPr>
                <w:bCs/>
              </w:rPr>
            </w:pPr>
          </w:p>
          <w:p w14:paraId="1B45DA5C" w14:textId="77777777" w:rsidR="0030417F" w:rsidRDefault="0030417F" w:rsidP="00C768D3">
            <w:pPr>
              <w:jc w:val="center"/>
              <w:rPr>
                <w:bCs/>
              </w:rPr>
            </w:pPr>
          </w:p>
          <w:p w14:paraId="61D6CD04" w14:textId="77777777" w:rsidR="0030417F" w:rsidRDefault="0030417F" w:rsidP="00C768D3">
            <w:pPr>
              <w:rPr>
                <w:bCs/>
              </w:rPr>
            </w:pPr>
          </w:p>
          <w:p w14:paraId="08840B3E" w14:textId="77777777" w:rsidR="0030417F" w:rsidRDefault="0030417F" w:rsidP="00C768D3">
            <w:pPr>
              <w:rPr>
                <w:bCs/>
              </w:rPr>
            </w:pPr>
          </w:p>
          <w:p w14:paraId="4CAFF582" w14:textId="77777777" w:rsidR="0030417F" w:rsidRDefault="0030417F" w:rsidP="00C768D3">
            <w:pPr>
              <w:rPr>
                <w:bCs/>
              </w:rPr>
            </w:pPr>
          </w:p>
          <w:p w14:paraId="156A479B" w14:textId="77777777" w:rsidR="0030417F" w:rsidRDefault="0030417F" w:rsidP="00C768D3">
            <w:pPr>
              <w:rPr>
                <w:bCs/>
              </w:rPr>
            </w:pPr>
          </w:p>
          <w:p w14:paraId="2949D4CF" w14:textId="77777777" w:rsidR="0030417F" w:rsidRDefault="0030417F" w:rsidP="00C768D3">
            <w:pPr>
              <w:rPr>
                <w:bCs/>
              </w:rPr>
            </w:pPr>
          </w:p>
          <w:p w14:paraId="1075D854" w14:textId="77777777" w:rsidR="0030417F" w:rsidRDefault="0030417F" w:rsidP="00C768D3">
            <w:pPr>
              <w:jc w:val="center"/>
              <w:rPr>
                <w:bCs/>
              </w:rPr>
            </w:pPr>
            <w:r>
              <w:rPr>
                <w:bCs/>
              </w:rPr>
              <w:t>30 Points</w:t>
            </w:r>
          </w:p>
          <w:p w14:paraId="13F8BACD" w14:textId="77777777" w:rsidR="0030417F" w:rsidRPr="007B4091" w:rsidRDefault="0030417F" w:rsidP="00C768D3">
            <w:pPr>
              <w:jc w:val="center"/>
              <w:rPr>
                <w:bCs/>
              </w:rPr>
            </w:pPr>
          </w:p>
        </w:tc>
        <w:tc>
          <w:tcPr>
            <w:tcW w:w="19" w:type="dxa"/>
            <w:tcBorders>
              <w:top w:val="single" w:sz="4" w:space="0" w:color="F7C8AC"/>
              <w:left w:val="single" w:sz="4" w:space="0" w:color="F7C8AC"/>
              <w:bottom w:val="none" w:sz="6" w:space="0" w:color="auto"/>
              <w:right w:val="none" w:sz="6" w:space="0" w:color="auto"/>
            </w:tcBorders>
          </w:tcPr>
          <w:p w14:paraId="48230B5C" w14:textId="77777777" w:rsidR="0030417F" w:rsidRPr="007B4091" w:rsidRDefault="0030417F" w:rsidP="00C768D3">
            <w:pPr>
              <w:rPr>
                <w:bCs/>
              </w:rPr>
            </w:pPr>
          </w:p>
        </w:tc>
      </w:tr>
      <w:tr w:rsidR="0030417F" w:rsidRPr="007B4091" w14:paraId="78154D50" w14:textId="77777777" w:rsidTr="00C768D3">
        <w:trPr>
          <w:trHeight w:val="933"/>
        </w:trPr>
        <w:tc>
          <w:tcPr>
            <w:tcW w:w="1609" w:type="dxa"/>
            <w:vMerge/>
            <w:tcBorders>
              <w:top w:val="single" w:sz="4" w:space="0" w:color="F7C8AC"/>
              <w:left w:val="single" w:sz="4" w:space="0" w:color="F7C8AC"/>
              <w:bottom w:val="none" w:sz="6" w:space="0" w:color="auto"/>
              <w:right w:val="single" w:sz="4" w:space="0" w:color="F7C8AC"/>
            </w:tcBorders>
          </w:tcPr>
          <w:p w14:paraId="21536219" w14:textId="77777777" w:rsidR="0030417F" w:rsidRDefault="0030417F" w:rsidP="00C768D3"/>
        </w:tc>
        <w:tc>
          <w:tcPr>
            <w:tcW w:w="7285" w:type="dxa"/>
            <w:tcBorders>
              <w:top w:val="single" w:sz="4" w:space="0" w:color="F7C8AC"/>
              <w:left w:val="single" w:sz="4" w:space="0" w:color="F7C8AC"/>
              <w:bottom w:val="single" w:sz="4" w:space="0" w:color="F7C8AC"/>
              <w:right w:val="single" w:sz="4" w:space="0" w:color="F7C8AC"/>
            </w:tcBorders>
          </w:tcPr>
          <w:tbl>
            <w:tblPr>
              <w:tblpPr w:leftFromText="180" w:rightFromText="180" w:vertAnchor="text" w:horzAnchor="margin" w:tblpY="-186"/>
              <w:tblOverlap w:val="never"/>
              <w:tblW w:w="7275" w:type="dxa"/>
              <w:tblCellMar>
                <w:left w:w="0" w:type="dxa"/>
                <w:right w:w="0" w:type="dxa"/>
              </w:tblCellMar>
              <w:tblLook w:val="0000" w:firstRow="0" w:lastRow="0" w:firstColumn="0" w:lastColumn="0" w:noHBand="0" w:noVBand="0"/>
            </w:tblPr>
            <w:tblGrid>
              <w:gridCol w:w="7275"/>
            </w:tblGrid>
            <w:tr w:rsidR="0030417F" w:rsidRPr="007B4091" w14:paraId="3B68FE23" w14:textId="77777777" w:rsidTr="00C768D3">
              <w:trPr>
                <w:trHeight w:val="1114"/>
              </w:trPr>
              <w:tc>
                <w:tcPr>
                  <w:tcW w:w="7275" w:type="dxa"/>
                  <w:tcBorders>
                    <w:top w:val="none" w:sz="6" w:space="0" w:color="auto"/>
                    <w:left w:val="none" w:sz="6" w:space="0" w:color="auto"/>
                    <w:bottom w:val="single" w:sz="4" w:space="0" w:color="F7C8AC"/>
                    <w:right w:val="none" w:sz="6" w:space="0" w:color="auto"/>
                  </w:tcBorders>
                </w:tcPr>
                <w:p w14:paraId="52BA80B2" w14:textId="77777777" w:rsidR="0030417F" w:rsidRDefault="0030417F" w:rsidP="00C768D3">
                  <w:pPr>
                    <w:rPr>
                      <w:bCs/>
                    </w:rPr>
                  </w:pPr>
                  <w:r w:rsidRPr="007B4091">
                    <w:rPr>
                      <w:bCs/>
                    </w:rPr>
                    <w:t xml:space="preserve">Fiscal Responsibility – the </w:t>
                  </w:r>
                  <w:r>
                    <w:rPr>
                      <w:bCs/>
                    </w:rPr>
                    <w:t>appropriateness</w:t>
                  </w:r>
                  <w:r w:rsidRPr="007B4091">
                    <w:rPr>
                      <w:bCs/>
                    </w:rPr>
                    <w:t xml:space="preserve"> of the budget (the clear</w:t>
                  </w:r>
                  <w:r>
                    <w:rPr>
                      <w:bCs/>
                    </w:rPr>
                    <w:t xml:space="preserve"> </w:t>
                  </w:r>
                  <w:r w:rsidRPr="007B4091">
                    <w:rPr>
                      <w:bCs/>
                    </w:rPr>
                    <w:t>and realistic presentation of the proposed budget during the grant period); demonstrated evidence of strong and/ or developing financial support from the community.</w:t>
                  </w:r>
                </w:p>
                <w:p w14:paraId="16E71DA5" w14:textId="77777777" w:rsidR="00606BD4" w:rsidRPr="007B4091" w:rsidRDefault="00606BD4" w:rsidP="00C768D3">
                  <w:pPr>
                    <w:rPr>
                      <w:bCs/>
                    </w:rPr>
                  </w:pPr>
                </w:p>
              </w:tc>
            </w:tr>
            <w:tr w:rsidR="0030417F" w:rsidRPr="007B4091" w14:paraId="71A2E892" w14:textId="77777777" w:rsidTr="00C768D3">
              <w:trPr>
                <w:trHeight w:val="507"/>
              </w:trPr>
              <w:tc>
                <w:tcPr>
                  <w:tcW w:w="7275" w:type="dxa"/>
                  <w:tcBorders>
                    <w:top w:val="single" w:sz="4" w:space="0" w:color="F7C8AC"/>
                    <w:left w:val="none" w:sz="6" w:space="0" w:color="auto"/>
                    <w:bottom w:val="none" w:sz="6" w:space="0" w:color="auto"/>
                    <w:right w:val="none" w:sz="6" w:space="0" w:color="auto"/>
                  </w:tcBorders>
                </w:tcPr>
                <w:p w14:paraId="45EA4B39" w14:textId="77777777" w:rsidR="0030417F" w:rsidRPr="006C1BEF" w:rsidRDefault="0030417F" w:rsidP="00C768D3">
                  <w:pPr>
                    <w:rPr>
                      <w:bCs/>
                    </w:rPr>
                  </w:pPr>
                  <w:r w:rsidRPr="006C1BEF">
                    <w:rPr>
                      <w:bCs/>
                    </w:rPr>
                    <w:t>Exhibited diverse programming that is reflective of the community.</w:t>
                  </w:r>
                </w:p>
                <w:p w14:paraId="1D574BB3" w14:textId="77777777" w:rsidR="0030417F" w:rsidRPr="006C1BEF" w:rsidRDefault="0030417F" w:rsidP="00C768D3">
                  <w:pPr>
                    <w:rPr>
                      <w:bCs/>
                    </w:rPr>
                  </w:pPr>
                  <w:r w:rsidRPr="006C1BEF">
                    <w:rPr>
                      <w:bCs/>
                    </w:rPr>
                    <w:t>Commitment</w:t>
                  </w:r>
                  <w:r w:rsidR="00E34095" w:rsidRPr="006C1BEF">
                    <w:rPr>
                      <w:bCs/>
                    </w:rPr>
                    <w:t xml:space="preserve">. </w:t>
                  </w:r>
                </w:p>
                <w:p w14:paraId="5398C7E6" w14:textId="77777777" w:rsidR="00EE3435" w:rsidRPr="006C1BEF" w:rsidRDefault="00EE3435" w:rsidP="00C768D3">
                  <w:pPr>
                    <w:rPr>
                      <w:bCs/>
                    </w:rPr>
                  </w:pPr>
                </w:p>
                <w:p w14:paraId="4854A0A0" w14:textId="12E4E0EF" w:rsidR="00662879" w:rsidRPr="00ED539D" w:rsidRDefault="006C1BEF" w:rsidP="00C768D3">
                  <w:pPr>
                    <w:rPr>
                      <w:b/>
                      <w:color w:val="FF0000"/>
                      <w:u w:val="single"/>
                    </w:rPr>
                  </w:pPr>
                  <w:r w:rsidRPr="006C1BEF">
                    <w:rPr>
                      <w:bCs/>
                    </w:rPr>
                    <w:t>Organization’s programming</w:t>
                  </w:r>
                  <w:r w:rsidR="005958D7" w:rsidRPr="006C1BEF">
                    <w:rPr>
                      <w:bCs/>
                    </w:rPr>
                    <w:t>, facilities, related materials,</w:t>
                  </w:r>
                  <w:r w:rsidR="00655535" w:rsidRPr="006C1BEF">
                    <w:rPr>
                      <w:bCs/>
                    </w:rPr>
                    <w:t xml:space="preserve"> </w:t>
                  </w:r>
                  <w:r w:rsidR="00080E20" w:rsidRPr="006C1BEF">
                    <w:rPr>
                      <w:bCs/>
                    </w:rPr>
                    <w:t xml:space="preserve">and communications </w:t>
                  </w:r>
                  <w:r w:rsidR="00ED539D" w:rsidRPr="006C1BEF">
                    <w:rPr>
                      <w:bCs/>
                    </w:rPr>
                    <w:t>demonstrate</w:t>
                  </w:r>
                  <w:r w:rsidR="00080E20" w:rsidRPr="006C1BEF">
                    <w:rPr>
                      <w:bCs/>
                    </w:rPr>
                    <w:t xml:space="preserve"> full compliance with </w:t>
                  </w:r>
                  <w:r w:rsidR="00912711" w:rsidRPr="006C1BEF">
                    <w:rPr>
                      <w:bCs/>
                    </w:rPr>
                    <w:t>accessibility</w:t>
                  </w:r>
                  <w:r w:rsidR="00080E20" w:rsidRPr="006C1BEF">
                    <w:rPr>
                      <w:bCs/>
                    </w:rPr>
                    <w:t xml:space="preserve"> rights and</w:t>
                  </w:r>
                  <w:r w:rsidR="00ED539D" w:rsidRPr="006C1BEF">
                    <w:rPr>
                      <w:bCs/>
                    </w:rPr>
                    <w:t xml:space="preserve"> Equal Protection rights as set forth in the United States </w:t>
                  </w:r>
                  <w:r w:rsidR="00912711" w:rsidRPr="006C1BEF">
                    <w:rPr>
                      <w:bCs/>
                    </w:rPr>
                    <w:t>Constitution</w:t>
                  </w:r>
                  <w:r w:rsidR="00ED539D" w:rsidRPr="006C1BEF">
                    <w:rPr>
                      <w:bCs/>
                    </w:rPr>
                    <w:t xml:space="preserve">. </w:t>
                  </w:r>
                </w:p>
              </w:tc>
            </w:tr>
            <w:tr w:rsidR="0030417F" w:rsidRPr="007B4091" w14:paraId="10401859" w14:textId="77777777" w:rsidTr="00C768D3">
              <w:trPr>
                <w:trHeight w:val="493"/>
              </w:trPr>
              <w:tc>
                <w:tcPr>
                  <w:tcW w:w="7275" w:type="dxa"/>
                  <w:tcBorders>
                    <w:top w:val="none" w:sz="6" w:space="0" w:color="auto"/>
                    <w:left w:val="none" w:sz="6" w:space="0" w:color="auto"/>
                    <w:bottom w:val="single" w:sz="4" w:space="0" w:color="F7C8AC"/>
                    <w:right w:val="none" w:sz="6" w:space="0" w:color="auto"/>
                  </w:tcBorders>
                </w:tcPr>
                <w:p w14:paraId="3B5D9594" w14:textId="6BF923F5" w:rsidR="0030417F" w:rsidRPr="0047384C" w:rsidRDefault="0030417F" w:rsidP="00C768D3">
                  <w:pPr>
                    <w:rPr>
                      <w:b/>
                      <w:color w:val="FF0000"/>
                    </w:rPr>
                  </w:pPr>
                </w:p>
              </w:tc>
            </w:tr>
            <w:tr w:rsidR="0030417F" w:rsidRPr="007B4091" w14:paraId="373822A1" w14:textId="77777777" w:rsidTr="00C768D3">
              <w:trPr>
                <w:trHeight w:val="979"/>
              </w:trPr>
              <w:tc>
                <w:tcPr>
                  <w:tcW w:w="7275" w:type="dxa"/>
                  <w:tcBorders>
                    <w:top w:val="single" w:sz="4" w:space="0" w:color="F7C8AC"/>
                    <w:left w:val="none" w:sz="6" w:space="0" w:color="auto"/>
                    <w:bottom w:val="single" w:sz="4" w:space="0" w:color="F7C8AC"/>
                    <w:right w:val="none" w:sz="6" w:space="0" w:color="auto"/>
                  </w:tcBorders>
                </w:tcPr>
                <w:p w14:paraId="05F2D00C" w14:textId="77777777" w:rsidR="0030417F" w:rsidRPr="007B4091" w:rsidRDefault="0030417F" w:rsidP="00C768D3">
                  <w:pPr>
                    <w:rPr>
                      <w:bCs/>
                    </w:rPr>
                  </w:pPr>
                  <w:r w:rsidRPr="007B4091">
                    <w:rPr>
                      <w:bCs/>
                    </w:rPr>
                    <w:t>Ability to carry out the operation’s work and mission based on such</w:t>
                  </w:r>
                </w:p>
                <w:p w14:paraId="4F241B4C" w14:textId="77777777" w:rsidR="0030417F" w:rsidRPr="007B4091" w:rsidRDefault="0030417F" w:rsidP="00C768D3">
                  <w:pPr>
                    <w:rPr>
                      <w:bCs/>
                    </w:rPr>
                  </w:pPr>
                  <w:r w:rsidRPr="007B4091">
                    <w:rPr>
                      <w:bCs/>
                    </w:rPr>
                    <w:t>factors, the quality and clarity of the activities and goals, the resources involved, and the qualifications of the organization’s personnel.</w:t>
                  </w:r>
                </w:p>
              </w:tc>
            </w:tr>
            <w:tr w:rsidR="0030417F" w:rsidRPr="007B4091" w14:paraId="2B050DF1" w14:textId="77777777" w:rsidTr="00C768D3">
              <w:trPr>
                <w:trHeight w:val="979"/>
              </w:trPr>
              <w:tc>
                <w:tcPr>
                  <w:tcW w:w="7275" w:type="dxa"/>
                  <w:tcBorders>
                    <w:top w:val="single" w:sz="4" w:space="0" w:color="F7C8AC"/>
                    <w:left w:val="none" w:sz="6" w:space="0" w:color="auto"/>
                    <w:bottom w:val="single" w:sz="4" w:space="0" w:color="F7C8AC"/>
                    <w:right w:val="none" w:sz="6" w:space="0" w:color="auto"/>
                  </w:tcBorders>
                </w:tcPr>
                <w:p w14:paraId="7F95432A" w14:textId="77777777" w:rsidR="0030417F" w:rsidRPr="00CF2963" w:rsidRDefault="0030417F" w:rsidP="00C768D3">
                  <w:pPr>
                    <w:rPr>
                      <w:bCs/>
                    </w:rPr>
                  </w:pPr>
                  <w:r w:rsidRPr="00CF2963">
                    <w:rPr>
                      <w:bCs/>
                    </w:rPr>
                    <w:t>Adoption and commitment to best practices in board governance</w:t>
                  </w:r>
                </w:p>
                <w:p w14:paraId="1C3EA9CE" w14:textId="77777777" w:rsidR="0030417F" w:rsidRPr="007B4091" w:rsidRDefault="0030417F" w:rsidP="00C768D3">
                  <w:pPr>
                    <w:rPr>
                      <w:bCs/>
                    </w:rPr>
                  </w:pPr>
                  <w:r w:rsidRPr="00CF2963">
                    <w:rPr>
                      <w:bCs/>
                    </w:rPr>
                    <w:t>(term limits, separation of power, recruitment efforts, approving financial statements, adherence to bylaws).</w:t>
                  </w:r>
                </w:p>
              </w:tc>
            </w:tr>
            <w:tr w:rsidR="0030417F" w:rsidRPr="007B4091" w14:paraId="09732D7A" w14:textId="77777777" w:rsidTr="00C768D3">
              <w:trPr>
                <w:trHeight w:val="1052"/>
              </w:trPr>
              <w:tc>
                <w:tcPr>
                  <w:tcW w:w="7275" w:type="dxa"/>
                  <w:tcBorders>
                    <w:top w:val="single" w:sz="4" w:space="0" w:color="F7C8AC"/>
                    <w:left w:val="none" w:sz="6" w:space="0" w:color="auto"/>
                    <w:bottom w:val="single" w:sz="4" w:space="0" w:color="F7C8AC"/>
                    <w:right w:val="none" w:sz="6" w:space="0" w:color="auto"/>
                  </w:tcBorders>
                </w:tcPr>
                <w:p w14:paraId="7BF4A2AD" w14:textId="77777777" w:rsidR="0030417F" w:rsidRPr="00CF2963" w:rsidRDefault="0030417F" w:rsidP="00C768D3">
                  <w:pPr>
                    <w:rPr>
                      <w:bCs/>
                    </w:rPr>
                  </w:pPr>
                  <w:r w:rsidRPr="00CF2963">
                    <w:rPr>
                      <w:bCs/>
                    </w:rPr>
                    <w:t>Appropriateness of proposed performance measurements. This includes where relevant, measures to assess student and/or teacher</w:t>
                  </w:r>
                </w:p>
                <w:p w14:paraId="7311B5AA" w14:textId="77777777" w:rsidR="0030417F" w:rsidRPr="00CF2963" w:rsidRDefault="0030417F" w:rsidP="00C768D3">
                  <w:pPr>
                    <w:pBdr>
                      <w:bottom w:val="single" w:sz="12" w:space="1" w:color="auto"/>
                    </w:pBdr>
                    <w:rPr>
                      <w:bCs/>
                    </w:rPr>
                  </w:pPr>
                  <w:r w:rsidRPr="00CF2963">
                    <w:rPr>
                      <w:bCs/>
                    </w:rPr>
                    <w:t>learning in arts education.</w:t>
                  </w:r>
                </w:p>
              </w:tc>
            </w:tr>
          </w:tbl>
          <w:p w14:paraId="22A45865" w14:textId="77777777" w:rsidR="0030417F" w:rsidRPr="007B4091" w:rsidRDefault="0030417F" w:rsidP="00C768D3">
            <w:pPr>
              <w:rPr>
                <w:bCs/>
              </w:rPr>
            </w:pPr>
          </w:p>
        </w:tc>
        <w:tc>
          <w:tcPr>
            <w:tcW w:w="1637" w:type="dxa"/>
            <w:vMerge/>
            <w:tcBorders>
              <w:top w:val="single" w:sz="4" w:space="0" w:color="F7C8AC"/>
              <w:left w:val="single" w:sz="4" w:space="0" w:color="F7C8AC"/>
              <w:bottom w:val="none" w:sz="6" w:space="0" w:color="auto"/>
              <w:right w:val="none" w:sz="6" w:space="0" w:color="auto"/>
            </w:tcBorders>
          </w:tcPr>
          <w:p w14:paraId="15DFE194" w14:textId="77777777" w:rsidR="0030417F" w:rsidRPr="007B4091" w:rsidRDefault="0030417F" w:rsidP="00C768D3">
            <w:pPr>
              <w:jc w:val="center"/>
              <w:rPr>
                <w:bCs/>
              </w:rPr>
            </w:pPr>
          </w:p>
        </w:tc>
        <w:tc>
          <w:tcPr>
            <w:tcW w:w="19" w:type="dxa"/>
            <w:tcBorders>
              <w:top w:val="single" w:sz="4" w:space="0" w:color="F7C8AC"/>
              <w:left w:val="single" w:sz="4" w:space="0" w:color="F7C8AC"/>
              <w:bottom w:val="none" w:sz="6" w:space="0" w:color="auto"/>
              <w:right w:val="none" w:sz="6" w:space="0" w:color="auto"/>
            </w:tcBorders>
          </w:tcPr>
          <w:p w14:paraId="48DD97CC" w14:textId="77777777" w:rsidR="0030417F" w:rsidRPr="007B4091" w:rsidRDefault="0030417F" w:rsidP="00C768D3">
            <w:pPr>
              <w:rPr>
                <w:bCs/>
              </w:rPr>
            </w:pPr>
          </w:p>
        </w:tc>
      </w:tr>
      <w:tr w:rsidR="0030417F" w:rsidRPr="007B4091" w14:paraId="68556BA1" w14:textId="77777777" w:rsidTr="00C768D3">
        <w:trPr>
          <w:trHeight w:val="5480"/>
        </w:trPr>
        <w:tc>
          <w:tcPr>
            <w:tcW w:w="1609" w:type="dxa"/>
            <w:vMerge/>
            <w:tcBorders>
              <w:top w:val="nil"/>
              <w:left w:val="single" w:sz="4" w:space="0" w:color="F7C8AC"/>
              <w:bottom w:val="nil"/>
              <w:right w:val="single" w:sz="4" w:space="0" w:color="F7C8AC"/>
            </w:tcBorders>
          </w:tcPr>
          <w:p w14:paraId="6443FEF4" w14:textId="77777777" w:rsidR="0030417F" w:rsidRPr="007B4091" w:rsidRDefault="0030417F" w:rsidP="00C768D3">
            <w:pPr>
              <w:rPr>
                <w:bCs/>
              </w:rPr>
            </w:pPr>
          </w:p>
        </w:tc>
        <w:tc>
          <w:tcPr>
            <w:tcW w:w="7285" w:type="dxa"/>
            <w:tcBorders>
              <w:top w:val="single" w:sz="4" w:space="0" w:color="F7C8AC"/>
              <w:left w:val="single" w:sz="4" w:space="0" w:color="F7C8AC"/>
              <w:bottom w:val="single" w:sz="4" w:space="0" w:color="F7C8AC"/>
              <w:right w:val="single" w:sz="4" w:space="0" w:color="F7C8AC"/>
            </w:tcBorders>
          </w:tcPr>
          <w:p w14:paraId="1F98D173" w14:textId="77777777" w:rsidR="0030417F" w:rsidRPr="007108FC" w:rsidRDefault="0030417F" w:rsidP="00C768D3">
            <w:pPr>
              <w:rPr>
                <w:bCs/>
              </w:rPr>
            </w:pPr>
            <w:r w:rsidRPr="007108FC">
              <w:rPr>
                <w:bCs/>
              </w:rPr>
              <w:t>Potential to serve and/or reach individuals whose opportunities to</w:t>
            </w:r>
          </w:p>
          <w:p w14:paraId="44A7F774" w14:textId="77777777" w:rsidR="0030417F" w:rsidRPr="0084658C" w:rsidRDefault="0030417F" w:rsidP="00C768D3">
            <w:pPr>
              <w:rPr>
                <w:bCs/>
              </w:rPr>
            </w:pPr>
            <w:r w:rsidRPr="007108FC">
              <w:rPr>
                <w:bCs/>
              </w:rPr>
              <w:t>experience the arts are limited by geography, ethnicity, economics, or disability, as applicable (increasing access to the arts)</w:t>
            </w:r>
          </w:p>
          <w:tbl>
            <w:tblPr>
              <w:tblW w:w="7173" w:type="dxa"/>
              <w:tblCellMar>
                <w:left w:w="0" w:type="dxa"/>
                <w:right w:w="0" w:type="dxa"/>
              </w:tblCellMar>
              <w:tblLook w:val="0000" w:firstRow="0" w:lastRow="0" w:firstColumn="0" w:lastColumn="0" w:noHBand="0" w:noVBand="0"/>
            </w:tblPr>
            <w:tblGrid>
              <w:gridCol w:w="7173"/>
            </w:tblGrid>
            <w:tr w:rsidR="0030417F" w:rsidRPr="00CF2963" w14:paraId="5DAEA9B5" w14:textId="77777777" w:rsidTr="00C768D3">
              <w:trPr>
                <w:trHeight w:val="961"/>
              </w:trPr>
              <w:tc>
                <w:tcPr>
                  <w:tcW w:w="7173" w:type="dxa"/>
                  <w:tcBorders>
                    <w:top w:val="single" w:sz="4" w:space="0" w:color="F7C8AC"/>
                    <w:left w:val="none" w:sz="6" w:space="0" w:color="auto"/>
                    <w:bottom w:val="single" w:sz="4" w:space="0" w:color="F7C8AC"/>
                    <w:right w:val="none" w:sz="6" w:space="0" w:color="auto"/>
                  </w:tcBorders>
                </w:tcPr>
                <w:p w14:paraId="14500A7A" w14:textId="6D28DD9C" w:rsidR="0030417F" w:rsidRPr="00CF2963" w:rsidRDefault="0030417F" w:rsidP="00C768D3">
                  <w:pPr>
                    <w:rPr>
                      <w:bCs/>
                    </w:rPr>
                  </w:pPr>
                  <w:r w:rsidRPr="007108FC">
                    <w:rPr>
                      <w:bCs/>
                    </w:rPr>
                    <w:t xml:space="preserve">Strength and impact of arts and culture-based partnerships and </w:t>
                  </w:r>
                  <w:r w:rsidRPr="005701F0">
                    <w:rPr>
                      <w:bCs/>
                    </w:rPr>
                    <w:t>cross-sector</w:t>
                  </w:r>
                  <w:r w:rsidRPr="0047384C">
                    <w:rPr>
                      <w:bCs/>
                      <w:color w:val="FF0000"/>
                    </w:rPr>
                    <w:t xml:space="preserve"> </w:t>
                  </w:r>
                  <w:r w:rsidRPr="007108FC">
                    <w:rPr>
                      <w:bCs/>
                    </w:rPr>
                    <w:t>collaborations (partnerships with organizations outside of the</w:t>
                  </w:r>
                  <w:r w:rsidR="005962C4">
                    <w:rPr>
                      <w:bCs/>
                    </w:rPr>
                    <w:t xml:space="preserve"> </w:t>
                  </w:r>
                  <w:r w:rsidRPr="007108FC">
                    <w:rPr>
                      <w:bCs/>
                    </w:rPr>
                    <w:t>arts and culture sector</w:t>
                  </w:r>
                  <w:r>
                    <w:rPr>
                      <w:bCs/>
                    </w:rPr>
                    <w:t>).</w:t>
                  </w:r>
                </w:p>
              </w:tc>
            </w:tr>
            <w:tr w:rsidR="0030417F" w:rsidRPr="00CF2963" w14:paraId="670EEF7C" w14:textId="77777777" w:rsidTr="00C768D3">
              <w:trPr>
                <w:trHeight w:val="3608"/>
              </w:trPr>
              <w:tc>
                <w:tcPr>
                  <w:tcW w:w="7173" w:type="dxa"/>
                  <w:tcBorders>
                    <w:top w:val="single" w:sz="4" w:space="0" w:color="F7C8AC"/>
                    <w:left w:val="none" w:sz="6" w:space="0" w:color="auto"/>
                    <w:bottom w:val="none" w:sz="6" w:space="0" w:color="auto"/>
                    <w:right w:val="none" w:sz="6" w:space="0" w:color="auto"/>
                  </w:tcBorders>
                </w:tcPr>
                <w:p w14:paraId="10B17839" w14:textId="766828AB" w:rsidR="0030417F" w:rsidRPr="007108FC" w:rsidRDefault="0030417F" w:rsidP="00C768D3">
                  <w:pPr>
                    <w:rPr>
                      <w:bCs/>
                    </w:rPr>
                  </w:pPr>
                  <w:r>
                    <w:rPr>
                      <w:bCs/>
                    </w:rPr>
                    <w:t>As a</w:t>
                  </w:r>
                  <w:r w:rsidRPr="007108FC">
                    <w:rPr>
                      <w:bCs/>
                    </w:rPr>
                    <w:t>pplicable, engagement with the following constituencies</w:t>
                  </w:r>
                  <w:r w:rsidR="005701F0">
                    <w:rPr>
                      <w:bCs/>
                    </w:rPr>
                    <w:t>:</w:t>
                  </w:r>
                </w:p>
                <w:p w14:paraId="035DD2AA" w14:textId="77777777" w:rsidR="0030417F" w:rsidRPr="007108FC" w:rsidRDefault="0030417F" w:rsidP="00C768D3">
                  <w:pPr>
                    <w:rPr>
                      <w:bCs/>
                    </w:rPr>
                  </w:pPr>
                </w:p>
                <w:p w14:paraId="416780D3" w14:textId="77777777" w:rsidR="0030417F" w:rsidRPr="007108FC" w:rsidRDefault="0030417F" w:rsidP="00C768D3">
                  <w:pPr>
                    <w:rPr>
                      <w:bCs/>
                    </w:rPr>
                  </w:pPr>
                  <w:r w:rsidRPr="007108FC">
                    <w:rPr>
                      <w:bCs/>
                    </w:rPr>
                    <w:t>•  Historically Black Colleges and Universities,</w:t>
                  </w:r>
                </w:p>
                <w:p w14:paraId="3AC5F9EA" w14:textId="77777777" w:rsidR="0030417F" w:rsidRPr="007108FC" w:rsidRDefault="0030417F" w:rsidP="00C768D3">
                  <w:pPr>
                    <w:rPr>
                      <w:bCs/>
                    </w:rPr>
                  </w:pPr>
                  <w:r w:rsidRPr="007108FC">
                    <w:rPr>
                      <w:bCs/>
                    </w:rPr>
                    <w:t>•  Tribal Colleges and Universities,</w:t>
                  </w:r>
                </w:p>
                <w:p w14:paraId="581168FD" w14:textId="77777777" w:rsidR="0030417F" w:rsidRPr="007108FC" w:rsidRDefault="0030417F" w:rsidP="00C768D3">
                  <w:pPr>
                    <w:rPr>
                      <w:bCs/>
                    </w:rPr>
                  </w:pPr>
                  <w:r w:rsidRPr="007108FC">
                    <w:rPr>
                      <w:bCs/>
                    </w:rPr>
                    <w:t>•  American Indian and Alaska Native tribes,</w:t>
                  </w:r>
                </w:p>
                <w:p w14:paraId="2EF589BA" w14:textId="77777777" w:rsidR="0030417F" w:rsidRPr="007108FC" w:rsidRDefault="0030417F" w:rsidP="00C768D3">
                  <w:pPr>
                    <w:rPr>
                      <w:bCs/>
                    </w:rPr>
                  </w:pPr>
                  <w:r w:rsidRPr="007108FC">
                    <w:rPr>
                      <w:bCs/>
                    </w:rPr>
                    <w:t>•  African American Serving Institutions,</w:t>
                  </w:r>
                </w:p>
                <w:p w14:paraId="1CB179EB" w14:textId="77777777" w:rsidR="0030417F" w:rsidRPr="007108FC" w:rsidRDefault="0030417F" w:rsidP="00C768D3">
                  <w:pPr>
                    <w:rPr>
                      <w:bCs/>
                    </w:rPr>
                  </w:pPr>
                  <w:r w:rsidRPr="007108FC">
                    <w:rPr>
                      <w:bCs/>
                    </w:rPr>
                    <w:t>•  Hispanic Serving Institutions,</w:t>
                  </w:r>
                </w:p>
                <w:p w14:paraId="5F9EDB93" w14:textId="77777777" w:rsidR="0030417F" w:rsidRPr="007108FC" w:rsidRDefault="0030417F" w:rsidP="00C768D3">
                  <w:pPr>
                    <w:rPr>
                      <w:bCs/>
                    </w:rPr>
                  </w:pPr>
                  <w:r w:rsidRPr="007108FC">
                    <w:rPr>
                      <w:bCs/>
                    </w:rPr>
                    <w:t>•  Asian American and Pacific Islander communities, and</w:t>
                  </w:r>
                </w:p>
                <w:p w14:paraId="6C5A80E0" w14:textId="77777777" w:rsidR="0030417F" w:rsidRPr="007108FC" w:rsidRDefault="0030417F" w:rsidP="00C768D3">
                  <w:pPr>
                    <w:rPr>
                      <w:bCs/>
                    </w:rPr>
                  </w:pPr>
                  <w:r w:rsidRPr="007108FC">
                    <w:rPr>
                      <w:bCs/>
                    </w:rPr>
                    <w:t>•  Organizations that support the independence and</w:t>
                  </w:r>
                  <w:r>
                    <w:rPr>
                      <w:bCs/>
                    </w:rPr>
                    <w:t xml:space="preserve"> </w:t>
                  </w:r>
                  <w:r w:rsidRPr="007108FC">
                    <w:rPr>
                      <w:bCs/>
                    </w:rPr>
                    <w:t>lifelong inclusion of people with disabilities.</w:t>
                  </w:r>
                </w:p>
              </w:tc>
            </w:tr>
          </w:tbl>
          <w:p w14:paraId="43064748" w14:textId="77777777" w:rsidR="0030417F" w:rsidRPr="007B4091" w:rsidRDefault="0030417F" w:rsidP="00C768D3">
            <w:pPr>
              <w:rPr>
                <w:bCs/>
              </w:rPr>
            </w:pPr>
          </w:p>
        </w:tc>
        <w:tc>
          <w:tcPr>
            <w:tcW w:w="1637" w:type="dxa"/>
            <w:vMerge/>
            <w:tcBorders>
              <w:top w:val="nil"/>
              <w:left w:val="single" w:sz="4" w:space="0" w:color="F7C8AC"/>
              <w:bottom w:val="nil"/>
              <w:right w:val="none" w:sz="6" w:space="0" w:color="auto"/>
            </w:tcBorders>
          </w:tcPr>
          <w:p w14:paraId="62E969D3" w14:textId="77777777" w:rsidR="0030417F" w:rsidRPr="007B4091" w:rsidRDefault="0030417F" w:rsidP="00C768D3">
            <w:pPr>
              <w:rPr>
                <w:bCs/>
              </w:rPr>
            </w:pPr>
          </w:p>
        </w:tc>
        <w:tc>
          <w:tcPr>
            <w:tcW w:w="19" w:type="dxa"/>
            <w:tcBorders>
              <w:top w:val="nil"/>
              <w:left w:val="single" w:sz="4" w:space="0" w:color="F7C8AC"/>
              <w:bottom w:val="nil"/>
              <w:right w:val="none" w:sz="6" w:space="0" w:color="auto"/>
            </w:tcBorders>
          </w:tcPr>
          <w:p w14:paraId="2F8DA73C" w14:textId="77777777" w:rsidR="0030417F" w:rsidRPr="007B4091" w:rsidRDefault="0030417F" w:rsidP="00C768D3">
            <w:pPr>
              <w:rPr>
                <w:bCs/>
              </w:rPr>
            </w:pPr>
          </w:p>
        </w:tc>
      </w:tr>
    </w:tbl>
    <w:p w14:paraId="300F0097" w14:textId="77777777" w:rsidR="0030417F" w:rsidRDefault="0030417F" w:rsidP="0030417F">
      <w:pPr>
        <w:rPr>
          <w:noProof/>
        </w:rPr>
      </w:pPr>
    </w:p>
    <w:p w14:paraId="4A96796C" w14:textId="77777777" w:rsidR="0030417F" w:rsidRPr="009353DE" w:rsidRDefault="0030417F" w:rsidP="0030417F">
      <w:pPr>
        <w:rPr>
          <w:b/>
          <w:bCs/>
          <w:noProof/>
        </w:rPr>
      </w:pPr>
      <w:r w:rsidRPr="009353DE">
        <w:rPr>
          <w:b/>
          <w:bCs/>
          <w:noProof/>
        </w:rPr>
        <w:t>FUNDING DECISION PROCESS</w:t>
      </w:r>
    </w:p>
    <w:p w14:paraId="09BCF28A" w14:textId="77777777" w:rsidR="0030417F" w:rsidRDefault="0030417F" w:rsidP="0030417F">
      <w:pPr>
        <w:pStyle w:val="ListParagraph"/>
        <w:numPr>
          <w:ilvl w:val="0"/>
          <w:numId w:val="11"/>
        </w:numPr>
        <w:rPr>
          <w:noProof/>
        </w:rPr>
      </w:pPr>
      <w:r>
        <w:rPr>
          <w:noProof/>
        </w:rPr>
        <w:t>Staff Review/due diligence: Staff may contact applicants for additonal materials (only the most critical information). Please watch for an email or call before the end of July</w:t>
      </w:r>
    </w:p>
    <w:p w14:paraId="30B1447E" w14:textId="77777777" w:rsidR="0030417F" w:rsidRDefault="0030417F" w:rsidP="0030417F">
      <w:pPr>
        <w:pStyle w:val="ListParagraph"/>
        <w:numPr>
          <w:ilvl w:val="0"/>
          <w:numId w:val="11"/>
        </w:numPr>
        <w:rPr>
          <w:noProof/>
        </w:rPr>
      </w:pPr>
      <w:r>
        <w:rPr>
          <w:noProof/>
        </w:rPr>
        <w:t>Committee Review: Applications are reviewed and scored by the committee (using the rubric above). Scores are averaged, and written comments may be formulated. Funding recommendations are determined by the committee’s scores and available funding</w:t>
      </w:r>
    </w:p>
    <w:p w14:paraId="05C9E494" w14:textId="5AB7F59C" w:rsidR="00421293" w:rsidRPr="00421293" w:rsidRDefault="00421293" w:rsidP="00421293">
      <w:pPr>
        <w:pStyle w:val="ListParagraph"/>
        <w:numPr>
          <w:ilvl w:val="0"/>
          <w:numId w:val="11"/>
        </w:numPr>
        <w:rPr>
          <w:b/>
        </w:rPr>
      </w:pPr>
      <w:r>
        <w:rPr>
          <w:bCs/>
        </w:rPr>
        <w:t>Applicants may receive feedback on their applications</w:t>
      </w:r>
    </w:p>
    <w:p w14:paraId="1B9D5DA2" w14:textId="77777777" w:rsidR="0030417F" w:rsidRDefault="0030417F" w:rsidP="0030417F">
      <w:pPr>
        <w:pStyle w:val="ListParagraph"/>
        <w:numPr>
          <w:ilvl w:val="0"/>
          <w:numId w:val="11"/>
        </w:numPr>
        <w:rPr>
          <w:noProof/>
        </w:rPr>
      </w:pPr>
      <w:r>
        <w:rPr>
          <w:noProof/>
        </w:rPr>
        <w:t>Board Approval: Committee recommendations are approved by MCA’s Executive Committee and Board of Directors</w:t>
      </w:r>
    </w:p>
    <w:p w14:paraId="7F1DCABE" w14:textId="77777777" w:rsidR="0030417F" w:rsidRDefault="0030417F" w:rsidP="0030417F">
      <w:pPr>
        <w:pStyle w:val="ListParagraph"/>
        <w:numPr>
          <w:ilvl w:val="0"/>
          <w:numId w:val="11"/>
        </w:numPr>
        <w:rPr>
          <w:noProof/>
        </w:rPr>
      </w:pPr>
      <w:r>
        <w:rPr>
          <w:noProof/>
        </w:rPr>
        <w:t>Notification: The applicant’s CEO and Chair will receive their grant notification letter via email by the end of August</w:t>
      </w:r>
    </w:p>
    <w:p w14:paraId="34F7D263" w14:textId="53894965" w:rsidR="0030417F" w:rsidRPr="00BD47CE" w:rsidRDefault="0030417F" w:rsidP="0030417F">
      <w:pPr>
        <w:pStyle w:val="ListParagraph"/>
        <w:numPr>
          <w:ilvl w:val="0"/>
          <w:numId w:val="11"/>
        </w:numPr>
        <w:rPr>
          <w:b/>
        </w:rPr>
      </w:pPr>
      <w:r>
        <w:rPr>
          <w:bCs/>
        </w:rPr>
        <w:t xml:space="preserve">Award: MCA makes a formal check presentation to grant recipients during the annual Applaud the Arts. Should funds be needed prior to the </w:t>
      </w:r>
      <w:r w:rsidR="00B51DF4">
        <w:rPr>
          <w:bCs/>
        </w:rPr>
        <w:t xml:space="preserve">November </w:t>
      </w:r>
      <w:r>
        <w:rPr>
          <w:bCs/>
        </w:rPr>
        <w:t>event, coordination should be made with MCA. However, no project may start before September 1, 202</w:t>
      </w:r>
      <w:r w:rsidR="00B51DF4">
        <w:rPr>
          <w:bCs/>
        </w:rPr>
        <w:t>5</w:t>
      </w:r>
      <w:r>
        <w:rPr>
          <w:bCs/>
        </w:rPr>
        <w:t xml:space="preserve">. </w:t>
      </w:r>
    </w:p>
    <w:p w14:paraId="224EE114" w14:textId="77777777" w:rsidR="0030417F" w:rsidRDefault="0030417F" w:rsidP="0030417F">
      <w:pPr>
        <w:rPr>
          <w:b/>
        </w:rPr>
      </w:pPr>
    </w:p>
    <w:p w14:paraId="471D902F" w14:textId="77777777" w:rsidR="0030417F" w:rsidRDefault="0030417F" w:rsidP="0030417F">
      <w:pPr>
        <w:rPr>
          <w:b/>
        </w:rPr>
      </w:pPr>
      <w:r>
        <w:rPr>
          <w:b/>
        </w:rPr>
        <w:t>AWARDED GRANTEE REQUIREMENTS (during the grant period)</w:t>
      </w:r>
    </w:p>
    <w:p w14:paraId="543145B2" w14:textId="7399CDF5" w:rsidR="0030417F" w:rsidRPr="008F43F4" w:rsidRDefault="0030417F" w:rsidP="0030417F">
      <w:pPr>
        <w:pStyle w:val="ListParagraph"/>
        <w:numPr>
          <w:ilvl w:val="0"/>
          <w:numId w:val="9"/>
        </w:numPr>
        <w:rPr>
          <w:b/>
          <w:i/>
          <w:iCs/>
        </w:rPr>
      </w:pPr>
      <w:r w:rsidRPr="008F43F4">
        <w:rPr>
          <w:bCs/>
          <w:i/>
          <w:iCs/>
        </w:rPr>
        <w:t>Request Permission for Changes:</w:t>
      </w:r>
      <w:r>
        <w:rPr>
          <w:bCs/>
          <w:i/>
          <w:iCs/>
        </w:rPr>
        <w:t xml:space="preserve"> </w:t>
      </w:r>
      <w:r>
        <w:rPr>
          <w:bCs/>
        </w:rPr>
        <w:t>Significant programming or budget changes must be requested in advance; changes may or may not affect the grant award amount. Grant funds that are not used by June 2, 202</w:t>
      </w:r>
      <w:r w:rsidR="002041DA">
        <w:rPr>
          <w:bCs/>
        </w:rPr>
        <w:t>6</w:t>
      </w:r>
      <w:r>
        <w:rPr>
          <w:bCs/>
        </w:rPr>
        <w:t xml:space="preserve"> must be returned to Marion Cultural Alliance (MCA).</w:t>
      </w:r>
    </w:p>
    <w:p w14:paraId="014BA9B7" w14:textId="11CC5A5D" w:rsidR="0030417F" w:rsidRPr="008F43F4" w:rsidRDefault="0030417F" w:rsidP="0030417F">
      <w:pPr>
        <w:pStyle w:val="ListParagraph"/>
        <w:numPr>
          <w:ilvl w:val="0"/>
          <w:numId w:val="9"/>
        </w:numPr>
        <w:rPr>
          <w:b/>
          <w:i/>
          <w:iCs/>
        </w:rPr>
      </w:pPr>
      <w:r>
        <w:rPr>
          <w:bCs/>
          <w:i/>
          <w:iCs/>
        </w:rPr>
        <w:t>Notification:</w:t>
      </w:r>
      <w:r>
        <w:rPr>
          <w:b/>
          <w:i/>
          <w:iCs/>
        </w:rPr>
        <w:t xml:space="preserve"> </w:t>
      </w:r>
      <w:r>
        <w:rPr>
          <w:bCs/>
        </w:rPr>
        <w:t xml:space="preserve">Grantees must keep </w:t>
      </w:r>
      <w:hyperlink r:id="rId13" w:history="1">
        <w:r w:rsidR="00E8178B" w:rsidRPr="008417B8">
          <w:rPr>
            <w:rStyle w:val="Hyperlink"/>
          </w:rPr>
          <w:t>jaye.baillie@mcaocala.org</w:t>
        </w:r>
      </w:hyperlink>
      <w:r w:rsidR="00E8178B">
        <w:t xml:space="preserve"> </w:t>
      </w:r>
      <w:r>
        <w:rPr>
          <w:bCs/>
        </w:rPr>
        <w:t>on their email list, renew required insurance policies when they expire, and notify MCA of any contact changes or changes in IRS tax-exempt status. MCA will add grantees to its email list, including resources and grant opportunities. Grantees must provide information on planned events, programming, etc. to allow MCA to promote through its social media channels</w:t>
      </w:r>
      <w:r w:rsidR="00AE0E92">
        <w:rPr>
          <w:bCs/>
        </w:rPr>
        <w:t xml:space="preserve">. MCA should receive </w:t>
      </w:r>
      <w:r w:rsidR="00D77CAB">
        <w:rPr>
          <w:bCs/>
        </w:rPr>
        <w:t xml:space="preserve">an </w:t>
      </w:r>
      <w:r w:rsidR="00AE0E92">
        <w:rPr>
          <w:bCs/>
        </w:rPr>
        <w:t>invitation</w:t>
      </w:r>
      <w:r w:rsidR="00D77CAB">
        <w:rPr>
          <w:bCs/>
        </w:rPr>
        <w:t xml:space="preserve">, a minimum of two weeks </w:t>
      </w:r>
      <w:r w:rsidR="00137EC7">
        <w:rPr>
          <w:bCs/>
        </w:rPr>
        <w:t>prior, to</w:t>
      </w:r>
      <w:r w:rsidR="00D77CAB">
        <w:rPr>
          <w:bCs/>
        </w:rPr>
        <w:t xml:space="preserve"> </w:t>
      </w:r>
      <w:r w:rsidR="00C74AF1">
        <w:rPr>
          <w:bCs/>
        </w:rPr>
        <w:t>view the grant program activity</w:t>
      </w:r>
    </w:p>
    <w:p w14:paraId="4EBA821C" w14:textId="6E149A3C" w:rsidR="0030417F" w:rsidRPr="001C3F2F" w:rsidRDefault="0030417F" w:rsidP="0030417F">
      <w:pPr>
        <w:pStyle w:val="ListParagraph"/>
        <w:numPr>
          <w:ilvl w:val="0"/>
          <w:numId w:val="4"/>
        </w:numPr>
        <w:rPr>
          <w:b/>
        </w:rPr>
      </w:pPr>
      <w:r>
        <w:rPr>
          <w:bCs/>
          <w:i/>
          <w:iCs/>
        </w:rPr>
        <w:t xml:space="preserve">Inclusion: </w:t>
      </w:r>
      <w:r>
        <w:rPr>
          <w:bCs/>
        </w:rPr>
        <w:t xml:space="preserve">Grantees must provide equal access and opportunity in employment and services and may not discriminate </w:t>
      </w:r>
      <w:r w:rsidR="00C74AF1">
        <w:rPr>
          <w:bCs/>
        </w:rPr>
        <w:t>based on</w:t>
      </w:r>
      <w:r>
        <w:rPr>
          <w:bCs/>
        </w:rPr>
        <w:t xml:space="preserve"> race, color, ethnicity, religion, gender, ancestry, national origin, geography, age, varying disabilities, pregnancy, sexual orientation, gender identity, marital status, familial status, citizenship status, or socioeconomic status. The make-up of the staff, board, audience, volunteers, artists, scientists, historians, and other decision makers involved with the grantee organization should be inclusive of the diversity of the community and compatible with the organization’s mission.</w:t>
      </w:r>
    </w:p>
    <w:p w14:paraId="641E4197" w14:textId="680F7184" w:rsidR="0030417F" w:rsidRPr="000663E8" w:rsidRDefault="0030417F" w:rsidP="0030417F">
      <w:pPr>
        <w:pStyle w:val="ListParagraph"/>
        <w:numPr>
          <w:ilvl w:val="0"/>
          <w:numId w:val="9"/>
        </w:numPr>
        <w:rPr>
          <w:b/>
          <w:i/>
          <w:iCs/>
        </w:rPr>
      </w:pPr>
      <w:r>
        <w:rPr>
          <w:bCs/>
          <w:i/>
          <w:iCs/>
        </w:rPr>
        <w:t xml:space="preserve">Acknowledgement: </w:t>
      </w:r>
      <w:r>
        <w:rPr>
          <w:bCs/>
        </w:rPr>
        <w:t>Grantees must acknowledge the grant in all publicity and materials using the MCA</w:t>
      </w:r>
      <w:r w:rsidR="00E322AD">
        <w:rPr>
          <w:bCs/>
        </w:rPr>
        <w:t xml:space="preserve"> l</w:t>
      </w:r>
      <w:r>
        <w:rPr>
          <w:bCs/>
        </w:rPr>
        <w:t>ogo provided and/or verbiage like: Supported in part by a grant from Marion Cultural Alliance</w:t>
      </w:r>
      <w:r w:rsidR="00E322AD">
        <w:rPr>
          <w:bCs/>
        </w:rPr>
        <w:t xml:space="preserve">. </w:t>
      </w:r>
      <w:r>
        <w:rPr>
          <w:bCs/>
        </w:rPr>
        <w:t xml:space="preserve">MCA may publicize the grant using photographs from applications and reports. </w:t>
      </w:r>
    </w:p>
    <w:p w14:paraId="77C725DA" w14:textId="77777777" w:rsidR="0030417F" w:rsidRPr="00F034C6" w:rsidRDefault="0030417F" w:rsidP="0030417F">
      <w:pPr>
        <w:pStyle w:val="ListParagraph"/>
        <w:numPr>
          <w:ilvl w:val="0"/>
          <w:numId w:val="9"/>
        </w:numPr>
        <w:rPr>
          <w:b/>
          <w:i/>
          <w:iCs/>
        </w:rPr>
      </w:pPr>
      <w:r>
        <w:rPr>
          <w:bCs/>
          <w:i/>
          <w:iCs/>
        </w:rPr>
        <w:t>Recordkeeping:</w:t>
      </w:r>
      <w:r>
        <w:rPr>
          <w:b/>
          <w:i/>
          <w:iCs/>
        </w:rPr>
        <w:t xml:space="preserve"> </w:t>
      </w:r>
      <w:r>
        <w:rPr>
          <w:bCs/>
        </w:rPr>
        <w:t>Grantees must keep information (including description and photos of the funded programming, press or publicity about the programming, including use of logos or acknowledgement statement and financial records for the final report for five years)</w:t>
      </w:r>
    </w:p>
    <w:p w14:paraId="2E0420E5" w14:textId="57544A54" w:rsidR="0030417F" w:rsidRPr="000663E8" w:rsidRDefault="0030417F" w:rsidP="0030417F">
      <w:pPr>
        <w:pStyle w:val="ListParagraph"/>
        <w:numPr>
          <w:ilvl w:val="0"/>
          <w:numId w:val="9"/>
        </w:numPr>
        <w:rPr>
          <w:b/>
          <w:i/>
          <w:iCs/>
        </w:rPr>
      </w:pPr>
      <w:r>
        <w:rPr>
          <w:bCs/>
          <w:i/>
          <w:iCs/>
        </w:rPr>
        <w:t>Data Collection:</w:t>
      </w:r>
      <w:r>
        <w:rPr>
          <w:b/>
          <w:i/>
          <w:iCs/>
        </w:rPr>
        <w:t xml:space="preserve"> </w:t>
      </w:r>
      <w:r>
        <w:rPr>
          <w:bCs/>
        </w:rPr>
        <w:t xml:space="preserve">Organizations </w:t>
      </w:r>
      <w:r w:rsidR="005C0A7B">
        <w:rPr>
          <w:bCs/>
        </w:rPr>
        <w:t xml:space="preserve">must </w:t>
      </w:r>
      <w:r>
        <w:rPr>
          <w:bCs/>
        </w:rPr>
        <w:t xml:space="preserve">collect information on </w:t>
      </w:r>
      <w:r w:rsidR="007C3D31">
        <w:rPr>
          <w:bCs/>
        </w:rPr>
        <w:t>the number</w:t>
      </w:r>
      <w:r>
        <w:rPr>
          <w:bCs/>
        </w:rPr>
        <w:t xml:space="preserve"> of attendees, survey of audience participants, demographics, and/or basic field observations of program participants such as tickets sold or counting the number of audience members. </w:t>
      </w:r>
      <w:r w:rsidR="005C0A7B">
        <w:rPr>
          <w:bCs/>
        </w:rPr>
        <w:t xml:space="preserve">Zip code collection is encouraged as well. </w:t>
      </w:r>
    </w:p>
    <w:p w14:paraId="21AEBF2E" w14:textId="1505FCD1" w:rsidR="0030417F" w:rsidRPr="005C0A7B" w:rsidRDefault="0030417F" w:rsidP="0030417F">
      <w:pPr>
        <w:pStyle w:val="ListParagraph"/>
        <w:numPr>
          <w:ilvl w:val="0"/>
          <w:numId w:val="9"/>
        </w:numPr>
        <w:rPr>
          <w:b/>
          <w:i/>
          <w:iCs/>
        </w:rPr>
      </w:pPr>
      <w:r>
        <w:rPr>
          <w:bCs/>
          <w:i/>
          <w:iCs/>
        </w:rPr>
        <w:t>Final Report:</w:t>
      </w:r>
      <w:r>
        <w:rPr>
          <w:b/>
          <w:i/>
          <w:iCs/>
        </w:rPr>
        <w:t xml:space="preserve"> </w:t>
      </w:r>
      <w:r>
        <w:rPr>
          <w:bCs/>
        </w:rPr>
        <w:t xml:space="preserve">An online form will be provided with the award agreement to document program excellence and success. A brief narrative, statistics/demographics, proof of acknowledgement of </w:t>
      </w:r>
      <w:r w:rsidRPr="002041DA">
        <w:rPr>
          <w:bCs/>
        </w:rPr>
        <w:t>MCA</w:t>
      </w:r>
      <w:r w:rsidR="005C0A7B" w:rsidRPr="002041DA">
        <w:rPr>
          <w:bCs/>
        </w:rPr>
        <w:t>,</w:t>
      </w:r>
      <w:r w:rsidR="002041DA">
        <w:rPr>
          <w:bCs/>
        </w:rPr>
        <w:t xml:space="preserve"> </w:t>
      </w:r>
      <w:r>
        <w:rPr>
          <w:bCs/>
        </w:rPr>
        <w:t>and four photographs (high resolution).</w:t>
      </w:r>
      <w:r>
        <w:rPr>
          <w:b/>
          <w:i/>
          <w:iCs/>
        </w:rPr>
        <w:t xml:space="preserve"> </w:t>
      </w:r>
      <w:r>
        <w:rPr>
          <w:bCs/>
        </w:rPr>
        <w:t xml:space="preserve">This report is due within 30 days of the completion of the grant activities. </w:t>
      </w:r>
    </w:p>
    <w:p w14:paraId="47E9151D" w14:textId="77777777" w:rsidR="0030417F" w:rsidRPr="001E33BE" w:rsidRDefault="0030417F" w:rsidP="0030417F">
      <w:pPr>
        <w:rPr>
          <w:noProof/>
          <w:sz w:val="22"/>
          <w:szCs w:val="22"/>
        </w:rPr>
      </w:pPr>
    </w:p>
    <w:p w14:paraId="312F53BB" w14:textId="1F4F2C06" w:rsidR="0030417F" w:rsidRPr="00E70671" w:rsidRDefault="0030417F" w:rsidP="001E33BE">
      <w:pPr>
        <w:jc w:val="center"/>
        <w:rPr>
          <w:noProof/>
          <w:sz w:val="22"/>
          <w:szCs w:val="22"/>
        </w:rPr>
      </w:pPr>
      <w:r w:rsidRPr="001E33BE">
        <w:rPr>
          <w:noProof/>
          <w:sz w:val="22"/>
          <w:szCs w:val="22"/>
        </w:rPr>
        <w:t xml:space="preserve">Grant </w:t>
      </w:r>
      <w:r w:rsidR="00E70671" w:rsidRPr="001E33BE">
        <w:rPr>
          <w:noProof/>
          <w:sz w:val="22"/>
          <w:szCs w:val="22"/>
        </w:rPr>
        <w:t>Adminstrator</w:t>
      </w:r>
      <w:r w:rsidR="001E33BE">
        <w:rPr>
          <w:noProof/>
          <w:sz w:val="22"/>
          <w:szCs w:val="22"/>
        </w:rPr>
        <w:t xml:space="preserve">: </w:t>
      </w:r>
      <w:r w:rsidRPr="00E70671">
        <w:rPr>
          <w:noProof/>
          <w:sz w:val="22"/>
          <w:szCs w:val="22"/>
        </w:rPr>
        <w:t>Jaye Baillie, APR</w:t>
      </w:r>
    </w:p>
    <w:p w14:paraId="7FAC09B1" w14:textId="77777777" w:rsidR="0030417F" w:rsidRPr="00E70671" w:rsidRDefault="0030417F" w:rsidP="0030417F">
      <w:pPr>
        <w:jc w:val="center"/>
        <w:rPr>
          <w:noProof/>
          <w:sz w:val="18"/>
          <w:szCs w:val="18"/>
        </w:rPr>
      </w:pPr>
      <w:r w:rsidRPr="00E70671">
        <w:rPr>
          <w:noProof/>
          <w:sz w:val="18"/>
          <w:szCs w:val="18"/>
        </w:rPr>
        <w:t>MCA Executive Director</w:t>
      </w:r>
    </w:p>
    <w:p w14:paraId="17A92540" w14:textId="7A921F87" w:rsidR="0030417F" w:rsidRPr="00E70671" w:rsidRDefault="00321E48" w:rsidP="0030417F">
      <w:pPr>
        <w:jc w:val="center"/>
        <w:rPr>
          <w:noProof/>
          <w:sz w:val="18"/>
          <w:szCs w:val="18"/>
        </w:rPr>
      </w:pPr>
      <w:hyperlink r:id="rId14" w:history="1">
        <w:r w:rsidRPr="00D92E82">
          <w:rPr>
            <w:rStyle w:val="Hyperlink"/>
            <w:noProof/>
            <w:sz w:val="18"/>
            <w:szCs w:val="18"/>
          </w:rPr>
          <w:t>Jaye.baillie@mcaocala.org</w:t>
        </w:r>
      </w:hyperlink>
      <w:r>
        <w:rPr>
          <w:noProof/>
          <w:sz w:val="18"/>
          <w:szCs w:val="18"/>
        </w:rPr>
        <w:t xml:space="preserve"> </w:t>
      </w:r>
    </w:p>
    <w:p w14:paraId="4F06B9A1" w14:textId="77777777" w:rsidR="0030417F" w:rsidRPr="00E70671" w:rsidRDefault="0030417F" w:rsidP="0030417F">
      <w:pPr>
        <w:jc w:val="center"/>
        <w:rPr>
          <w:noProof/>
          <w:sz w:val="18"/>
          <w:szCs w:val="18"/>
        </w:rPr>
      </w:pPr>
      <w:r w:rsidRPr="00E70671">
        <w:rPr>
          <w:noProof/>
          <w:sz w:val="18"/>
          <w:szCs w:val="18"/>
        </w:rPr>
        <w:t>352.369.1500</w:t>
      </w:r>
    </w:p>
    <w:p w14:paraId="500C23DD" w14:textId="77777777" w:rsidR="0030417F" w:rsidRPr="00E70671" w:rsidRDefault="0030417F" w:rsidP="0030417F">
      <w:pPr>
        <w:rPr>
          <w:noProof/>
          <w:sz w:val="18"/>
          <w:szCs w:val="18"/>
        </w:rPr>
      </w:pPr>
      <w:r w:rsidRPr="00E70671">
        <w:rPr>
          <w:noProof/>
          <w:sz w:val="18"/>
          <w:szCs w:val="18"/>
        </w:rPr>
        <w:t xml:space="preserve">   </w:t>
      </w:r>
    </w:p>
    <w:p w14:paraId="727FDFFB" w14:textId="6B5B1132" w:rsidR="00E70671" w:rsidRPr="00E70671" w:rsidRDefault="00E70671" w:rsidP="001E33BE">
      <w:pPr>
        <w:jc w:val="center"/>
        <w:rPr>
          <w:noProof/>
          <w:sz w:val="22"/>
          <w:szCs w:val="22"/>
        </w:rPr>
      </w:pPr>
      <w:r w:rsidRPr="001E33BE">
        <w:rPr>
          <w:noProof/>
          <w:sz w:val="22"/>
          <w:szCs w:val="22"/>
        </w:rPr>
        <w:t>Grant Manager</w:t>
      </w:r>
      <w:r w:rsidR="001E33BE">
        <w:rPr>
          <w:noProof/>
          <w:sz w:val="22"/>
          <w:szCs w:val="22"/>
        </w:rPr>
        <w:t xml:space="preserve">: </w:t>
      </w:r>
      <w:r w:rsidRPr="00E70671">
        <w:rPr>
          <w:noProof/>
          <w:sz w:val="22"/>
          <w:szCs w:val="22"/>
        </w:rPr>
        <w:t>Courtney Kravig</w:t>
      </w:r>
    </w:p>
    <w:p w14:paraId="2EC081F7" w14:textId="7F74A112" w:rsidR="00E70671" w:rsidRPr="00E70671" w:rsidRDefault="00E70671" w:rsidP="00E70671">
      <w:pPr>
        <w:jc w:val="center"/>
        <w:rPr>
          <w:noProof/>
          <w:sz w:val="18"/>
          <w:szCs w:val="18"/>
        </w:rPr>
      </w:pPr>
      <w:r w:rsidRPr="00E70671">
        <w:rPr>
          <w:noProof/>
          <w:sz w:val="18"/>
          <w:szCs w:val="18"/>
        </w:rPr>
        <w:t xml:space="preserve">MCA </w:t>
      </w:r>
      <w:r>
        <w:rPr>
          <w:noProof/>
          <w:sz w:val="18"/>
          <w:szCs w:val="18"/>
        </w:rPr>
        <w:t>Financial Administrator</w:t>
      </w:r>
    </w:p>
    <w:p w14:paraId="4615ED1A" w14:textId="46AD411E" w:rsidR="00E70671" w:rsidRPr="00E70671" w:rsidRDefault="00E70671" w:rsidP="00E70671">
      <w:pPr>
        <w:jc w:val="center"/>
        <w:rPr>
          <w:noProof/>
          <w:sz w:val="18"/>
          <w:szCs w:val="18"/>
        </w:rPr>
      </w:pPr>
      <w:hyperlink r:id="rId15" w:history="1">
        <w:r w:rsidRPr="008417B8">
          <w:rPr>
            <w:rStyle w:val="Hyperlink"/>
            <w:noProof/>
            <w:sz w:val="18"/>
            <w:szCs w:val="18"/>
          </w:rPr>
          <w:t>courtney.kravig@mcaocala.org</w:t>
        </w:r>
      </w:hyperlink>
    </w:p>
    <w:p w14:paraId="5235D4FD" w14:textId="77777777" w:rsidR="00E70671" w:rsidRPr="00E70671" w:rsidRDefault="00E70671" w:rsidP="00E70671">
      <w:pPr>
        <w:jc w:val="center"/>
        <w:rPr>
          <w:noProof/>
          <w:sz w:val="18"/>
          <w:szCs w:val="18"/>
        </w:rPr>
      </w:pPr>
      <w:r w:rsidRPr="00E70671">
        <w:rPr>
          <w:noProof/>
          <w:sz w:val="18"/>
          <w:szCs w:val="18"/>
        </w:rPr>
        <w:t>352.369.1500</w:t>
      </w:r>
    </w:p>
    <w:p w14:paraId="7638BFE1" w14:textId="77777777" w:rsidR="00E70671" w:rsidRPr="00E70671" w:rsidRDefault="00E70671" w:rsidP="00E70671">
      <w:pPr>
        <w:rPr>
          <w:noProof/>
          <w:sz w:val="18"/>
          <w:szCs w:val="18"/>
        </w:rPr>
      </w:pPr>
      <w:r w:rsidRPr="00E70671">
        <w:rPr>
          <w:noProof/>
          <w:sz w:val="18"/>
          <w:szCs w:val="18"/>
        </w:rPr>
        <w:t xml:space="preserve">   </w:t>
      </w:r>
    </w:p>
    <w:p w14:paraId="7CC8AEF9" w14:textId="322860FB" w:rsidR="0030417F" w:rsidRDefault="008D51D2" w:rsidP="00E70671">
      <w:pPr>
        <w:jc w:val="center"/>
        <w:rPr>
          <w:noProof/>
          <w:sz w:val="20"/>
          <w:szCs w:val="20"/>
        </w:rPr>
      </w:pPr>
      <w:r w:rsidRPr="008D51D2">
        <w:rPr>
          <w:noProof/>
          <w:sz w:val="20"/>
          <w:szCs w:val="20"/>
        </w:rPr>
        <w:t>Marion Cultural Alliance</w:t>
      </w:r>
    </w:p>
    <w:p w14:paraId="23659167" w14:textId="124F3BCE" w:rsidR="008D51D2" w:rsidRDefault="008D51D2" w:rsidP="00E70671">
      <w:pPr>
        <w:jc w:val="center"/>
        <w:rPr>
          <w:noProof/>
          <w:sz w:val="20"/>
          <w:szCs w:val="20"/>
        </w:rPr>
      </w:pPr>
      <w:r>
        <w:rPr>
          <w:noProof/>
          <w:sz w:val="20"/>
          <w:szCs w:val="20"/>
        </w:rPr>
        <w:t>23 SW Broadway Street</w:t>
      </w:r>
    </w:p>
    <w:p w14:paraId="255F7916" w14:textId="41098EFD" w:rsidR="0030417F" w:rsidRPr="001E33BE" w:rsidRDefault="008D51D2" w:rsidP="001E33BE">
      <w:pPr>
        <w:jc w:val="center"/>
        <w:rPr>
          <w:noProof/>
          <w:sz w:val="20"/>
          <w:szCs w:val="20"/>
        </w:rPr>
      </w:pPr>
      <w:r>
        <w:rPr>
          <w:noProof/>
          <w:sz w:val="20"/>
          <w:szCs w:val="20"/>
        </w:rPr>
        <w:t>Ocala, Fl 34474</w:t>
      </w:r>
    </w:p>
    <w:sectPr w:rsidR="0030417F" w:rsidRPr="001E33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34CAA"/>
    <w:multiLevelType w:val="hybridMultilevel"/>
    <w:tmpl w:val="B1582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A0883"/>
    <w:multiLevelType w:val="hybridMultilevel"/>
    <w:tmpl w:val="63DC5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6C4936"/>
    <w:multiLevelType w:val="hybridMultilevel"/>
    <w:tmpl w:val="165C1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3468A"/>
    <w:multiLevelType w:val="hybridMultilevel"/>
    <w:tmpl w:val="B32AD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10DFA"/>
    <w:multiLevelType w:val="hybridMultilevel"/>
    <w:tmpl w:val="69289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8D48FA"/>
    <w:multiLevelType w:val="hybridMultilevel"/>
    <w:tmpl w:val="B9EE6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372964"/>
    <w:multiLevelType w:val="hybridMultilevel"/>
    <w:tmpl w:val="369C89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4D5755FC"/>
    <w:multiLevelType w:val="hybridMultilevel"/>
    <w:tmpl w:val="F2845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5C760D"/>
    <w:multiLevelType w:val="hybridMultilevel"/>
    <w:tmpl w:val="9182D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075D6C"/>
    <w:multiLevelType w:val="hybridMultilevel"/>
    <w:tmpl w:val="66727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E37145"/>
    <w:multiLevelType w:val="hybridMultilevel"/>
    <w:tmpl w:val="697E7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C13AAE"/>
    <w:multiLevelType w:val="hybridMultilevel"/>
    <w:tmpl w:val="EA4C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9195041">
    <w:abstractNumId w:val="3"/>
  </w:num>
  <w:num w:numId="2" w16cid:durableId="989669770">
    <w:abstractNumId w:val="8"/>
  </w:num>
  <w:num w:numId="3" w16cid:durableId="728382279">
    <w:abstractNumId w:val="7"/>
  </w:num>
  <w:num w:numId="4" w16cid:durableId="25914669">
    <w:abstractNumId w:val="4"/>
  </w:num>
  <w:num w:numId="5" w16cid:durableId="160391154">
    <w:abstractNumId w:val="0"/>
  </w:num>
  <w:num w:numId="6" w16cid:durableId="1933203115">
    <w:abstractNumId w:val="1"/>
  </w:num>
  <w:num w:numId="7" w16cid:durableId="417942117">
    <w:abstractNumId w:val="11"/>
  </w:num>
  <w:num w:numId="8" w16cid:durableId="23023092">
    <w:abstractNumId w:val="6"/>
  </w:num>
  <w:num w:numId="9" w16cid:durableId="2054035060">
    <w:abstractNumId w:val="2"/>
  </w:num>
  <w:num w:numId="10" w16cid:durableId="1482766935">
    <w:abstractNumId w:val="9"/>
  </w:num>
  <w:num w:numId="11" w16cid:durableId="1468355795">
    <w:abstractNumId w:val="10"/>
  </w:num>
  <w:num w:numId="12" w16cid:durableId="19941368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17F"/>
    <w:rsid w:val="00080E20"/>
    <w:rsid w:val="00101037"/>
    <w:rsid w:val="00137EC7"/>
    <w:rsid w:val="001C1AB8"/>
    <w:rsid w:val="001E33BE"/>
    <w:rsid w:val="002041DA"/>
    <w:rsid w:val="00207F64"/>
    <w:rsid w:val="002208DB"/>
    <w:rsid w:val="00230E71"/>
    <w:rsid w:val="002959C8"/>
    <w:rsid w:val="002B7761"/>
    <w:rsid w:val="0030417F"/>
    <w:rsid w:val="00321E48"/>
    <w:rsid w:val="00331BF9"/>
    <w:rsid w:val="00344D78"/>
    <w:rsid w:val="003A1419"/>
    <w:rsid w:val="003F4251"/>
    <w:rsid w:val="00421293"/>
    <w:rsid w:val="0043343B"/>
    <w:rsid w:val="00435113"/>
    <w:rsid w:val="00454962"/>
    <w:rsid w:val="0047384C"/>
    <w:rsid w:val="00490DF1"/>
    <w:rsid w:val="004C1E51"/>
    <w:rsid w:val="004E69FE"/>
    <w:rsid w:val="0055785E"/>
    <w:rsid w:val="00557A8C"/>
    <w:rsid w:val="005701F0"/>
    <w:rsid w:val="005958D7"/>
    <w:rsid w:val="005962C4"/>
    <w:rsid w:val="005A59F9"/>
    <w:rsid w:val="005C0A7B"/>
    <w:rsid w:val="005C1B5B"/>
    <w:rsid w:val="00606BD4"/>
    <w:rsid w:val="00642A43"/>
    <w:rsid w:val="00655535"/>
    <w:rsid w:val="00662879"/>
    <w:rsid w:val="00676D19"/>
    <w:rsid w:val="006C1BEF"/>
    <w:rsid w:val="006C53DB"/>
    <w:rsid w:val="006F32A5"/>
    <w:rsid w:val="007122DE"/>
    <w:rsid w:val="007C3D31"/>
    <w:rsid w:val="008650C2"/>
    <w:rsid w:val="008A74ED"/>
    <w:rsid w:val="008C2E3C"/>
    <w:rsid w:val="008C5FAE"/>
    <w:rsid w:val="008D51D2"/>
    <w:rsid w:val="00912711"/>
    <w:rsid w:val="00934CDA"/>
    <w:rsid w:val="00960024"/>
    <w:rsid w:val="0096301A"/>
    <w:rsid w:val="00977753"/>
    <w:rsid w:val="0099324F"/>
    <w:rsid w:val="0099692A"/>
    <w:rsid w:val="00997E99"/>
    <w:rsid w:val="009A25F9"/>
    <w:rsid w:val="009B3852"/>
    <w:rsid w:val="009D04DF"/>
    <w:rsid w:val="009F1392"/>
    <w:rsid w:val="00A83FF7"/>
    <w:rsid w:val="00A96206"/>
    <w:rsid w:val="00AB387B"/>
    <w:rsid w:val="00AE0E92"/>
    <w:rsid w:val="00AE1BA1"/>
    <w:rsid w:val="00B01512"/>
    <w:rsid w:val="00B51DF4"/>
    <w:rsid w:val="00B54060"/>
    <w:rsid w:val="00B817A8"/>
    <w:rsid w:val="00BC3565"/>
    <w:rsid w:val="00BC7494"/>
    <w:rsid w:val="00BE27D9"/>
    <w:rsid w:val="00BE4D9A"/>
    <w:rsid w:val="00C533CA"/>
    <w:rsid w:val="00C74AF1"/>
    <w:rsid w:val="00D12D32"/>
    <w:rsid w:val="00D44B15"/>
    <w:rsid w:val="00D77CAB"/>
    <w:rsid w:val="00D96B73"/>
    <w:rsid w:val="00DB6354"/>
    <w:rsid w:val="00DD340D"/>
    <w:rsid w:val="00E03CC2"/>
    <w:rsid w:val="00E11086"/>
    <w:rsid w:val="00E1268D"/>
    <w:rsid w:val="00E322AD"/>
    <w:rsid w:val="00E34095"/>
    <w:rsid w:val="00E70671"/>
    <w:rsid w:val="00E8178B"/>
    <w:rsid w:val="00EA483F"/>
    <w:rsid w:val="00ED539D"/>
    <w:rsid w:val="00EE3435"/>
    <w:rsid w:val="00EF74DC"/>
    <w:rsid w:val="00F31DA0"/>
    <w:rsid w:val="00F93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EF683"/>
  <w15:chartTrackingRefBased/>
  <w15:docId w15:val="{D2F9CE9C-47E3-4667-AB4A-29970BC5B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17F"/>
    <w:pPr>
      <w:spacing w:after="0" w:line="240" w:lineRule="auto"/>
    </w:pPr>
    <w:rPr>
      <w:kern w:val="0"/>
      <w14:ligatures w14:val="none"/>
    </w:rPr>
  </w:style>
  <w:style w:type="paragraph" w:styleId="Heading1">
    <w:name w:val="heading 1"/>
    <w:basedOn w:val="Normal"/>
    <w:next w:val="Normal"/>
    <w:link w:val="Heading1Char"/>
    <w:uiPriority w:val="9"/>
    <w:qFormat/>
    <w:rsid w:val="003041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41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41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41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41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417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417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417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417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1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41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41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41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41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41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41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41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417F"/>
    <w:rPr>
      <w:rFonts w:eastAsiaTheme="majorEastAsia" w:cstheme="majorBidi"/>
      <w:color w:val="272727" w:themeColor="text1" w:themeTint="D8"/>
    </w:rPr>
  </w:style>
  <w:style w:type="paragraph" w:styleId="Title">
    <w:name w:val="Title"/>
    <w:basedOn w:val="Normal"/>
    <w:next w:val="Normal"/>
    <w:link w:val="TitleChar"/>
    <w:uiPriority w:val="10"/>
    <w:qFormat/>
    <w:rsid w:val="0030417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41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41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41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417F"/>
    <w:pPr>
      <w:spacing w:before="160"/>
      <w:jc w:val="center"/>
    </w:pPr>
    <w:rPr>
      <w:i/>
      <w:iCs/>
      <w:color w:val="404040" w:themeColor="text1" w:themeTint="BF"/>
    </w:rPr>
  </w:style>
  <w:style w:type="character" w:customStyle="1" w:styleId="QuoteChar">
    <w:name w:val="Quote Char"/>
    <w:basedOn w:val="DefaultParagraphFont"/>
    <w:link w:val="Quote"/>
    <w:uiPriority w:val="29"/>
    <w:rsid w:val="0030417F"/>
    <w:rPr>
      <w:i/>
      <w:iCs/>
      <w:color w:val="404040" w:themeColor="text1" w:themeTint="BF"/>
    </w:rPr>
  </w:style>
  <w:style w:type="paragraph" w:styleId="ListParagraph">
    <w:name w:val="List Paragraph"/>
    <w:basedOn w:val="Normal"/>
    <w:uiPriority w:val="34"/>
    <w:qFormat/>
    <w:rsid w:val="0030417F"/>
    <w:pPr>
      <w:ind w:left="720"/>
      <w:contextualSpacing/>
    </w:pPr>
  </w:style>
  <w:style w:type="character" w:styleId="IntenseEmphasis">
    <w:name w:val="Intense Emphasis"/>
    <w:basedOn w:val="DefaultParagraphFont"/>
    <w:uiPriority w:val="21"/>
    <w:qFormat/>
    <w:rsid w:val="0030417F"/>
    <w:rPr>
      <w:i/>
      <w:iCs/>
      <w:color w:val="0F4761" w:themeColor="accent1" w:themeShade="BF"/>
    </w:rPr>
  </w:style>
  <w:style w:type="paragraph" w:styleId="IntenseQuote">
    <w:name w:val="Intense Quote"/>
    <w:basedOn w:val="Normal"/>
    <w:next w:val="Normal"/>
    <w:link w:val="IntenseQuoteChar"/>
    <w:uiPriority w:val="30"/>
    <w:qFormat/>
    <w:rsid w:val="003041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417F"/>
    <w:rPr>
      <w:i/>
      <w:iCs/>
      <w:color w:val="0F4761" w:themeColor="accent1" w:themeShade="BF"/>
    </w:rPr>
  </w:style>
  <w:style w:type="character" w:styleId="IntenseReference">
    <w:name w:val="Intense Reference"/>
    <w:basedOn w:val="DefaultParagraphFont"/>
    <w:uiPriority w:val="32"/>
    <w:qFormat/>
    <w:rsid w:val="0030417F"/>
    <w:rPr>
      <w:b/>
      <w:bCs/>
      <w:smallCaps/>
      <w:color w:val="0F4761" w:themeColor="accent1" w:themeShade="BF"/>
      <w:spacing w:val="5"/>
    </w:rPr>
  </w:style>
  <w:style w:type="character" w:styleId="Hyperlink">
    <w:name w:val="Hyperlink"/>
    <w:basedOn w:val="DefaultParagraphFont"/>
    <w:uiPriority w:val="99"/>
    <w:unhideWhenUsed/>
    <w:rsid w:val="0030417F"/>
    <w:rPr>
      <w:color w:val="467886" w:themeColor="hyperlink"/>
      <w:u w:val="single"/>
    </w:rPr>
  </w:style>
  <w:style w:type="character" w:styleId="UnresolvedMention">
    <w:name w:val="Unresolved Mention"/>
    <w:basedOn w:val="DefaultParagraphFont"/>
    <w:uiPriority w:val="99"/>
    <w:semiHidden/>
    <w:unhideWhenUsed/>
    <w:rsid w:val="003A1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rish\Downloads\(336)%20Get%20a%20Unique%20Entity%20ID%20-%20YouTube" TargetMode="External"/><Relationship Id="rId13" Type="http://schemas.openxmlformats.org/officeDocument/2006/relationships/hyperlink" Target="mailto:jaye.baillie@mcaocala.org" TargetMode="External"/><Relationship Id="rId3" Type="http://schemas.openxmlformats.org/officeDocument/2006/relationships/settings" Target="settings.xml"/><Relationship Id="rId7" Type="http://schemas.openxmlformats.org/officeDocument/2006/relationships/hyperlink" Target="https://www.gsa.gov/about-us/organization/federal-acquisition-service/technology-transformation-services/integrated-award-environment-iae/iae-systems-information-kit/unique-entity-id-is-here" TargetMode="External"/><Relationship Id="rId12" Type="http://schemas.openxmlformats.org/officeDocument/2006/relationships/hyperlink" Target="https://www.arts.gov/grants/grants-for-arts-projects/review-criteri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Users\trish\Downloads\(336)%20Get%20a%20Unique%20Entity%20ID%20-%20YouTube" TargetMode="External"/><Relationship Id="rId11" Type="http://schemas.openxmlformats.org/officeDocument/2006/relationships/hyperlink" Target="mailto:jayebaillie@mcaocala.org" TargetMode="External"/><Relationship Id="rId5" Type="http://schemas.openxmlformats.org/officeDocument/2006/relationships/hyperlink" Target="https://www.gsa.gov/about-us/organization/federal-acquisition-service/technology-transformation-services/integrated-award-environment-iae/iae-systems-information-kit/unique-entity-id-is-here" TargetMode="External"/><Relationship Id="rId15" Type="http://schemas.openxmlformats.org/officeDocument/2006/relationships/hyperlink" Target="mailto:courtney.kravig@mcaocala.org"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gsa.gov/about-us/organization/federal-acquisition-service/technology-transformation-services/integrated-award-environment-iae/iae-systems-information-kit/unique-entity-id-is-here" TargetMode="External"/><Relationship Id="rId14" Type="http://schemas.openxmlformats.org/officeDocument/2006/relationships/hyperlink" Target="mailto:Jaye.baillie@mcaocal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1175</TotalTime>
  <Pages>8</Pages>
  <Words>2456</Words>
  <Characters>14002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Jaye Baillie</dc:creator>
  <cp:keywords/>
  <dc:description/>
  <cp:lastModifiedBy>Jaye Baillie</cp:lastModifiedBy>
  <cp:revision>28</cp:revision>
  <cp:lastPrinted>2025-05-07T12:46:00Z</cp:lastPrinted>
  <dcterms:created xsi:type="dcterms:W3CDTF">2025-05-05T19:55:00Z</dcterms:created>
  <dcterms:modified xsi:type="dcterms:W3CDTF">2025-05-07T13:17:00Z</dcterms:modified>
</cp:coreProperties>
</file>